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AA3D" w14:textId="4291240D" w:rsidR="00E203C2" w:rsidRDefault="00E203C2" w:rsidP="00E203C2">
      <w:r>
        <w:rPr>
          <w:noProof/>
          <w:lang w:eastAsia="en-GB" w:bidi="ar-SA"/>
        </w:rPr>
        <w:drawing>
          <wp:inline distT="0" distB="0" distL="0" distR="0" wp14:anchorId="762E7D01" wp14:editId="5520E5A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716DD56E" w14:textId="77777777" w:rsidR="00E203C2" w:rsidRDefault="00E203C2" w:rsidP="00E203C2"/>
    <w:p w14:paraId="1DA1C3B1" w14:textId="4CF862B2" w:rsidR="00BA24E2" w:rsidRPr="00364851" w:rsidRDefault="00364851" w:rsidP="00BA24E2">
      <w:pPr>
        <w:rPr>
          <w:b/>
          <w:sz w:val="28"/>
          <w:szCs w:val="28"/>
        </w:rPr>
      </w:pPr>
      <w:r w:rsidRPr="00364851">
        <w:rPr>
          <w:b/>
          <w:sz w:val="28"/>
          <w:szCs w:val="28"/>
        </w:rPr>
        <w:t>12</w:t>
      </w:r>
      <w:r w:rsidR="00BA24E2" w:rsidRPr="00364851">
        <w:rPr>
          <w:b/>
          <w:sz w:val="28"/>
          <w:szCs w:val="28"/>
        </w:rPr>
        <w:t xml:space="preserve"> </w:t>
      </w:r>
      <w:r w:rsidRPr="00364851">
        <w:rPr>
          <w:b/>
          <w:sz w:val="28"/>
          <w:szCs w:val="28"/>
        </w:rPr>
        <w:t>April 2018</w:t>
      </w:r>
    </w:p>
    <w:p w14:paraId="61DD11F9" w14:textId="41E3DF8C" w:rsidR="00BA24E2" w:rsidRPr="00364851" w:rsidRDefault="00364851" w:rsidP="00BA24E2">
      <w:pPr>
        <w:rPr>
          <w:b/>
          <w:sz w:val="28"/>
          <w:szCs w:val="28"/>
        </w:rPr>
      </w:pPr>
      <w:r w:rsidRPr="00364851">
        <w:rPr>
          <w:b/>
          <w:sz w:val="28"/>
          <w:szCs w:val="28"/>
        </w:rPr>
        <w:t>[43-18</w:t>
      </w:r>
      <w:r w:rsidR="00BA24E2" w:rsidRPr="00364851">
        <w:rPr>
          <w:b/>
          <w:sz w:val="28"/>
          <w:szCs w:val="28"/>
        </w:rPr>
        <w:t>]</w:t>
      </w:r>
    </w:p>
    <w:p w14:paraId="790771E4" w14:textId="77777777" w:rsidR="00BA24E2" w:rsidRDefault="00BA24E2" w:rsidP="00E203C2"/>
    <w:p w14:paraId="2DA9425F" w14:textId="51217C04" w:rsidR="00D056F1" w:rsidRPr="00364851" w:rsidRDefault="000427B2" w:rsidP="00326ACA">
      <w:pPr>
        <w:pStyle w:val="FSFigureTitle"/>
        <w:rPr>
          <w:b/>
          <w:i w:val="0"/>
          <w:sz w:val="28"/>
          <w:szCs w:val="28"/>
        </w:rPr>
      </w:pPr>
      <w:r w:rsidRPr="00364851">
        <w:rPr>
          <w:b/>
          <w:i w:val="0"/>
          <w:sz w:val="28"/>
          <w:szCs w:val="28"/>
        </w:rPr>
        <w:t>C</w:t>
      </w:r>
      <w:r w:rsidR="00D8470F" w:rsidRPr="00364851">
        <w:rPr>
          <w:b/>
          <w:i w:val="0"/>
          <w:sz w:val="28"/>
          <w:szCs w:val="28"/>
        </w:rPr>
        <w:t>all</w:t>
      </w:r>
      <w:r w:rsidRPr="00364851">
        <w:rPr>
          <w:b/>
          <w:i w:val="0"/>
          <w:sz w:val="28"/>
          <w:szCs w:val="28"/>
        </w:rPr>
        <w:t xml:space="preserve"> </w:t>
      </w:r>
      <w:r w:rsidR="00D8470F" w:rsidRPr="00364851">
        <w:rPr>
          <w:b/>
          <w:i w:val="0"/>
          <w:sz w:val="28"/>
          <w:szCs w:val="28"/>
        </w:rPr>
        <w:t>for</w:t>
      </w:r>
      <w:r w:rsidRPr="00364851">
        <w:rPr>
          <w:b/>
          <w:i w:val="0"/>
          <w:sz w:val="28"/>
          <w:szCs w:val="28"/>
        </w:rPr>
        <w:t xml:space="preserve"> </w:t>
      </w:r>
      <w:r w:rsidR="00D8470F" w:rsidRPr="00364851">
        <w:rPr>
          <w:b/>
          <w:i w:val="0"/>
          <w:sz w:val="28"/>
          <w:szCs w:val="28"/>
        </w:rPr>
        <w:t>submissions</w:t>
      </w:r>
      <w:r w:rsidRPr="00364851">
        <w:rPr>
          <w:b/>
          <w:i w:val="0"/>
          <w:sz w:val="28"/>
          <w:szCs w:val="28"/>
        </w:rPr>
        <w:t xml:space="preserve"> – </w:t>
      </w:r>
      <w:r w:rsidR="00D056F1" w:rsidRPr="00364851">
        <w:rPr>
          <w:b/>
          <w:i w:val="0"/>
          <w:sz w:val="28"/>
          <w:szCs w:val="28"/>
        </w:rPr>
        <w:t>A</w:t>
      </w:r>
      <w:r w:rsidR="00A91DF1" w:rsidRPr="00364851">
        <w:rPr>
          <w:b/>
          <w:i w:val="0"/>
          <w:sz w:val="28"/>
          <w:szCs w:val="28"/>
        </w:rPr>
        <w:t>pplication</w:t>
      </w:r>
      <w:r w:rsidR="00BB6747" w:rsidRPr="00364851">
        <w:rPr>
          <w:b/>
          <w:i w:val="0"/>
          <w:sz w:val="28"/>
          <w:szCs w:val="28"/>
        </w:rPr>
        <w:t xml:space="preserve"> </w:t>
      </w:r>
      <w:r w:rsidR="008426D6" w:rsidRPr="00364851">
        <w:rPr>
          <w:b/>
          <w:i w:val="0"/>
          <w:sz w:val="28"/>
          <w:szCs w:val="28"/>
        </w:rPr>
        <w:t>A1146</w:t>
      </w:r>
    </w:p>
    <w:p w14:paraId="51640ACE" w14:textId="77777777" w:rsidR="00E203C2" w:rsidRPr="00364851" w:rsidRDefault="00E203C2" w:rsidP="00E203C2">
      <w:pPr>
        <w:rPr>
          <w:sz w:val="28"/>
          <w:szCs w:val="28"/>
        </w:rPr>
      </w:pPr>
    </w:p>
    <w:p w14:paraId="324339A1" w14:textId="1A542F2A" w:rsidR="00E203C2" w:rsidRPr="00364851" w:rsidRDefault="000015C3" w:rsidP="00E203C2">
      <w:pPr>
        <w:pBdr>
          <w:bottom w:val="single" w:sz="12" w:space="1" w:color="auto"/>
        </w:pBdr>
        <w:spacing w:line="280" w:lineRule="exact"/>
        <w:rPr>
          <w:b/>
          <w:bCs/>
          <w:iCs/>
          <w:sz w:val="28"/>
          <w:szCs w:val="28"/>
          <w:lang w:val="en-AU" w:bidi="ar-SA"/>
        </w:rPr>
      </w:pPr>
      <w:r w:rsidRPr="00364851">
        <w:rPr>
          <w:b/>
          <w:bCs/>
          <w:iCs/>
          <w:sz w:val="28"/>
          <w:szCs w:val="28"/>
          <w:lang w:val="en-AU" w:bidi="ar-SA"/>
        </w:rPr>
        <w:t>Thermolysin</w:t>
      </w:r>
      <w:r w:rsidR="000544D0" w:rsidRPr="00364851">
        <w:rPr>
          <w:b/>
          <w:bCs/>
          <w:iCs/>
          <w:sz w:val="28"/>
          <w:szCs w:val="28"/>
          <w:lang w:val="en-AU" w:bidi="ar-SA"/>
        </w:rPr>
        <w:t xml:space="preserve"> </w:t>
      </w:r>
      <w:r w:rsidR="00B750B9" w:rsidRPr="00364851">
        <w:rPr>
          <w:b/>
          <w:bCs/>
          <w:iCs/>
          <w:sz w:val="28"/>
          <w:szCs w:val="28"/>
          <w:lang w:val="en-AU" w:bidi="ar-SA"/>
        </w:rPr>
        <w:t>as a Processing Aid</w:t>
      </w:r>
    </w:p>
    <w:p w14:paraId="740284BA" w14:textId="77777777" w:rsidR="00B750B9" w:rsidRPr="00E81F6E" w:rsidRDefault="00B750B9" w:rsidP="00E203C2">
      <w:pPr>
        <w:pBdr>
          <w:bottom w:val="single" w:sz="12" w:space="1" w:color="auto"/>
        </w:pBdr>
        <w:spacing w:line="280" w:lineRule="exact"/>
        <w:rPr>
          <w:rFonts w:cs="Arial"/>
          <w:bCs/>
        </w:rPr>
      </w:pPr>
    </w:p>
    <w:p w14:paraId="135B9CDF" w14:textId="752EAD46" w:rsidR="00E063C6" w:rsidRPr="000544D0" w:rsidRDefault="00E063C6" w:rsidP="00E203C2">
      <w:pPr>
        <w:rPr>
          <w:szCs w:val="22"/>
        </w:rPr>
      </w:pPr>
      <w:r w:rsidRPr="000544D0">
        <w:rPr>
          <w:szCs w:val="22"/>
        </w:rPr>
        <w:t xml:space="preserve">FSANZ </w:t>
      </w:r>
      <w:r w:rsidR="00D81D38" w:rsidRPr="000544D0">
        <w:rPr>
          <w:szCs w:val="22"/>
        </w:rPr>
        <w:t>has assessed an A</w:t>
      </w:r>
      <w:r w:rsidR="00BB6747" w:rsidRPr="000544D0">
        <w:rPr>
          <w:szCs w:val="22"/>
        </w:rPr>
        <w:t xml:space="preserve">pplication made by Amano Enzyme Inc., </w:t>
      </w:r>
      <w:r w:rsidR="007C174F" w:rsidRPr="000544D0">
        <w:rPr>
          <w:szCs w:val="22"/>
        </w:rPr>
        <w:t>to</w:t>
      </w:r>
      <w:r w:rsidR="00BB6747" w:rsidRPr="000544D0">
        <w:rPr>
          <w:szCs w:val="22"/>
        </w:rPr>
        <w:t xml:space="preserve"> amend Schedule 18 of the </w:t>
      </w:r>
      <w:r w:rsidR="00BB6747" w:rsidRPr="000544D0">
        <w:rPr>
          <w:i/>
          <w:szCs w:val="22"/>
        </w:rPr>
        <w:t>Australia New Zealand Food Standards Code</w:t>
      </w:r>
      <w:r w:rsidR="00BB6747" w:rsidRPr="000544D0">
        <w:rPr>
          <w:szCs w:val="22"/>
        </w:rPr>
        <w:t xml:space="preserve"> (the Code) to permit the use of </w:t>
      </w:r>
      <w:r w:rsidR="000544D0">
        <w:rPr>
          <w:szCs w:val="22"/>
        </w:rPr>
        <w:t xml:space="preserve"> t</w:t>
      </w:r>
      <w:r w:rsidR="000015C3" w:rsidRPr="000544D0">
        <w:rPr>
          <w:szCs w:val="22"/>
        </w:rPr>
        <w:t>hermolysin</w:t>
      </w:r>
      <w:r w:rsidR="000544D0">
        <w:rPr>
          <w:szCs w:val="22"/>
        </w:rPr>
        <w:t>,</w:t>
      </w:r>
      <w:r w:rsidR="00C504DE" w:rsidRPr="000544D0">
        <w:rPr>
          <w:szCs w:val="22"/>
        </w:rPr>
        <w:t xml:space="preserve"> </w:t>
      </w:r>
      <w:r w:rsidR="000544D0" w:rsidRPr="000544D0">
        <w:rPr>
          <w:szCs w:val="22"/>
        </w:rPr>
        <w:t>a food enzyme of microbial origin,</w:t>
      </w:r>
      <w:r w:rsidR="000544D0" w:rsidRPr="000544D0">
        <w:rPr>
          <w:i/>
          <w:szCs w:val="22"/>
        </w:rPr>
        <w:t xml:space="preserve"> </w:t>
      </w:r>
      <w:r w:rsidR="000544D0" w:rsidRPr="000544D0">
        <w:rPr>
          <w:szCs w:val="22"/>
        </w:rPr>
        <w:t xml:space="preserve">as a processing aid in the </w:t>
      </w:r>
      <w:r w:rsidR="000A2E86" w:rsidRPr="000A2E86">
        <w:rPr>
          <w:szCs w:val="22"/>
        </w:rPr>
        <w:t>manufacture and/or processing</w:t>
      </w:r>
      <w:r w:rsidR="000544D0" w:rsidRPr="000544D0">
        <w:rPr>
          <w:szCs w:val="22"/>
        </w:rPr>
        <w:t xml:space="preserve"> of </w:t>
      </w:r>
      <w:r w:rsidR="000544D0" w:rsidRPr="000544D0">
        <w:rPr>
          <w:szCs w:val="22"/>
          <w:lang w:val="en"/>
        </w:rPr>
        <w:t>proteinaceous</w:t>
      </w:r>
      <w:r w:rsidR="000544D0" w:rsidRPr="000544D0">
        <w:rPr>
          <w:szCs w:val="22"/>
        </w:rPr>
        <w:t xml:space="preserve"> foods </w:t>
      </w:r>
      <w:r w:rsidR="00413CA8" w:rsidRPr="000544D0">
        <w:rPr>
          <w:szCs w:val="22"/>
        </w:rPr>
        <w:t xml:space="preserve">and has prepared a draft </w:t>
      </w:r>
      <w:r w:rsidR="00D8470F" w:rsidRPr="000544D0">
        <w:rPr>
          <w:szCs w:val="22"/>
        </w:rPr>
        <w:t>food regulatory measure</w:t>
      </w:r>
      <w:r w:rsidR="00351B07" w:rsidRPr="000544D0">
        <w:rPr>
          <w:szCs w:val="22"/>
        </w:rPr>
        <w:t xml:space="preserve">. </w:t>
      </w:r>
      <w:r w:rsidR="00D22F3C" w:rsidRPr="000544D0">
        <w:rPr>
          <w:szCs w:val="22"/>
        </w:rPr>
        <w:t xml:space="preserve">Pursuant to section 31 of the </w:t>
      </w:r>
      <w:r w:rsidR="00D22F3C" w:rsidRPr="000544D0">
        <w:rPr>
          <w:i/>
          <w:szCs w:val="22"/>
        </w:rPr>
        <w:t>Food Standard</w:t>
      </w:r>
      <w:r w:rsidR="00E203C2" w:rsidRPr="000544D0">
        <w:rPr>
          <w:i/>
          <w:szCs w:val="22"/>
        </w:rPr>
        <w:t>s Australia New Zealand Act 1991</w:t>
      </w:r>
      <w:r w:rsidR="00D22F3C" w:rsidRPr="000544D0">
        <w:rPr>
          <w:i/>
          <w:szCs w:val="22"/>
        </w:rPr>
        <w:t xml:space="preserve"> </w:t>
      </w:r>
      <w:r w:rsidR="00E203C2" w:rsidRPr="000544D0">
        <w:rPr>
          <w:szCs w:val="22"/>
        </w:rPr>
        <w:t>(</w:t>
      </w:r>
      <w:r w:rsidR="00D22F3C" w:rsidRPr="000544D0">
        <w:rPr>
          <w:szCs w:val="22"/>
        </w:rPr>
        <w:t>FSANZ Act), FSANZ now c</w:t>
      </w:r>
      <w:r w:rsidR="00E203C2" w:rsidRPr="000544D0">
        <w:rPr>
          <w:szCs w:val="22"/>
        </w:rPr>
        <w:t xml:space="preserve">alls for submissions to assist consideration of the </w:t>
      </w:r>
      <w:r w:rsidR="00413CA8" w:rsidRPr="000544D0">
        <w:rPr>
          <w:szCs w:val="22"/>
        </w:rPr>
        <w:t xml:space="preserve">draft </w:t>
      </w:r>
      <w:r w:rsidR="00D8470F" w:rsidRPr="000544D0">
        <w:rPr>
          <w:szCs w:val="22"/>
        </w:rPr>
        <w:t>food regulatory measure</w:t>
      </w:r>
      <w:r w:rsidR="00D22F3C" w:rsidRPr="000544D0">
        <w:rPr>
          <w:szCs w:val="22"/>
        </w:rPr>
        <w:t>.</w:t>
      </w:r>
    </w:p>
    <w:p w14:paraId="51AA3CF4" w14:textId="77777777" w:rsidR="00413CA8" w:rsidRPr="000544D0" w:rsidRDefault="00413CA8" w:rsidP="00E203C2">
      <w:pPr>
        <w:rPr>
          <w:szCs w:val="22"/>
        </w:rPr>
      </w:pPr>
    </w:p>
    <w:p w14:paraId="0AF14E76" w14:textId="77777777" w:rsidR="00351B07" w:rsidRPr="000544D0" w:rsidRDefault="00A91DF1" w:rsidP="00E203C2">
      <w:pPr>
        <w:rPr>
          <w:szCs w:val="22"/>
        </w:rPr>
      </w:pPr>
      <w:r w:rsidRPr="000544D0">
        <w:rPr>
          <w:szCs w:val="22"/>
        </w:rPr>
        <w:t>Fo</w:t>
      </w:r>
      <w:r w:rsidR="00AD22F9" w:rsidRPr="000544D0">
        <w:rPr>
          <w:szCs w:val="22"/>
        </w:rPr>
        <w:t>r</w:t>
      </w:r>
      <w:r w:rsidRPr="000544D0">
        <w:rPr>
          <w:szCs w:val="22"/>
        </w:rPr>
        <w:t xml:space="preserve"> </w:t>
      </w:r>
      <w:r w:rsidR="00091CC2" w:rsidRPr="000544D0">
        <w:rPr>
          <w:szCs w:val="22"/>
        </w:rPr>
        <w:t xml:space="preserve">information about </w:t>
      </w:r>
      <w:r w:rsidR="00BA24E2" w:rsidRPr="000544D0">
        <w:rPr>
          <w:szCs w:val="22"/>
        </w:rPr>
        <w:t>making a</w:t>
      </w:r>
      <w:r w:rsidR="00351B07" w:rsidRPr="000544D0">
        <w:rPr>
          <w:szCs w:val="22"/>
        </w:rPr>
        <w:t xml:space="preserve"> submission</w:t>
      </w:r>
      <w:r w:rsidRPr="000544D0">
        <w:rPr>
          <w:szCs w:val="22"/>
        </w:rPr>
        <w:t>, visit</w:t>
      </w:r>
      <w:r w:rsidR="00351B07" w:rsidRPr="000544D0">
        <w:rPr>
          <w:szCs w:val="22"/>
        </w:rPr>
        <w:t xml:space="preserve"> the FSANZ website at</w:t>
      </w:r>
      <w:r w:rsidR="00AD22F9" w:rsidRPr="000544D0">
        <w:rPr>
          <w:szCs w:val="22"/>
        </w:rPr>
        <w:t xml:space="preserve"> </w:t>
      </w:r>
      <w:hyperlink r:id="rId15" w:history="1">
        <w:r w:rsidR="00C56F71" w:rsidRPr="000544D0">
          <w:rPr>
            <w:rStyle w:val="Hyperlink"/>
            <w:szCs w:val="22"/>
            <w:lang w:val="en-AU"/>
          </w:rPr>
          <w:t>information for submitters</w:t>
        </w:r>
      </w:hyperlink>
      <w:r w:rsidR="00351B07" w:rsidRPr="000544D0">
        <w:rPr>
          <w:szCs w:val="22"/>
        </w:rPr>
        <w:t>.</w:t>
      </w:r>
    </w:p>
    <w:p w14:paraId="665BB4F8" w14:textId="77777777" w:rsidR="00D81D38" w:rsidRPr="000544D0" w:rsidRDefault="00D81D38" w:rsidP="00276026">
      <w:pPr>
        <w:rPr>
          <w:szCs w:val="22"/>
        </w:rPr>
      </w:pPr>
    </w:p>
    <w:p w14:paraId="673A7F75" w14:textId="519F7396" w:rsidR="00276026" w:rsidRPr="000544D0" w:rsidRDefault="00276026" w:rsidP="00AC74CB">
      <w:pPr>
        <w:ind w:right="-428"/>
        <w:rPr>
          <w:szCs w:val="22"/>
        </w:rPr>
      </w:pPr>
      <w:r w:rsidRPr="000544D0">
        <w:rPr>
          <w:szCs w:val="22"/>
        </w:rPr>
        <w:t xml:space="preserve">All submissions on applications and proposals will be published on our website. We will not publish material </w:t>
      </w:r>
      <w:r w:rsidR="00901EF6" w:rsidRPr="000544D0">
        <w:rPr>
          <w:szCs w:val="22"/>
        </w:rPr>
        <w:t>that we accept as confidential</w:t>
      </w:r>
      <w:r w:rsidRPr="000544D0">
        <w:rPr>
          <w:szCs w:val="22"/>
        </w:rPr>
        <w:t>, but will record that such information is held. In</w:t>
      </w:r>
      <w:r w:rsidR="00E67632">
        <w:rPr>
          <w:szCs w:val="22"/>
        </w:rPr>
        <w:t>-</w:t>
      </w:r>
      <w:r w:rsidRPr="000544D0">
        <w:rPr>
          <w:szCs w:val="22"/>
        </w:rPr>
        <w:t xml:space="preserve">confidence submissions may be subject to release under the provisions of the </w:t>
      </w:r>
      <w:r w:rsidRPr="000544D0">
        <w:rPr>
          <w:i/>
          <w:iCs/>
          <w:szCs w:val="22"/>
        </w:rPr>
        <w:t>Freedom of Information Act 1991</w:t>
      </w:r>
      <w:r w:rsidRPr="000544D0">
        <w:rPr>
          <w:szCs w:val="22"/>
        </w:rPr>
        <w:t>. Submissions will be published as soon as possible after the end of the public comment period. Where large numbers of documents are involved, FSANZ will make these available on CD, rather than on the website.</w:t>
      </w:r>
    </w:p>
    <w:p w14:paraId="4A38A4E3" w14:textId="77777777" w:rsidR="00876515" w:rsidRPr="000544D0" w:rsidRDefault="00876515" w:rsidP="00276026">
      <w:pPr>
        <w:rPr>
          <w:color w:val="000000"/>
          <w:szCs w:val="22"/>
          <w:lang w:val="en-AU"/>
        </w:rPr>
      </w:pPr>
    </w:p>
    <w:p w14:paraId="7A1A7C31" w14:textId="77777777" w:rsidR="00E203C2" w:rsidRPr="000544D0" w:rsidRDefault="00AD22F9" w:rsidP="00E203C2">
      <w:pPr>
        <w:rPr>
          <w:color w:val="000000"/>
          <w:szCs w:val="22"/>
          <w:lang w:val="en-AU"/>
        </w:rPr>
      </w:pPr>
      <w:r w:rsidRPr="000544D0">
        <w:rPr>
          <w:color w:val="000000"/>
          <w:szCs w:val="22"/>
          <w:lang w:val="en-AU"/>
        </w:rPr>
        <w:t>Under s</w:t>
      </w:r>
      <w:r w:rsidR="00351B07" w:rsidRPr="000544D0">
        <w:rPr>
          <w:color w:val="000000"/>
          <w:szCs w:val="22"/>
          <w:lang w:val="en-AU"/>
        </w:rPr>
        <w:t xml:space="preserve">ection 114 </w:t>
      </w:r>
      <w:r w:rsidR="00FB1533" w:rsidRPr="000544D0">
        <w:rPr>
          <w:color w:val="000000"/>
          <w:szCs w:val="22"/>
          <w:lang w:val="en-AU"/>
        </w:rPr>
        <w:t xml:space="preserve">of the FSANZ Act, </w:t>
      </w:r>
      <w:r w:rsidRPr="000544D0">
        <w:rPr>
          <w:color w:val="000000"/>
          <w:szCs w:val="22"/>
          <w:lang w:val="en-AU"/>
        </w:rPr>
        <w:t>some information provided to FSANZ cannot be disclosed. More</w:t>
      </w:r>
      <w:r w:rsidR="00351B07" w:rsidRPr="000544D0">
        <w:rPr>
          <w:color w:val="000000"/>
          <w:szCs w:val="22"/>
          <w:lang w:val="en-AU"/>
        </w:rPr>
        <w:t xml:space="preserve"> information about the disclosure of confidential commercial information is available on the FSANZ website at</w:t>
      </w:r>
      <w:r w:rsidR="004A3685" w:rsidRPr="000544D0">
        <w:rPr>
          <w:color w:val="000000"/>
          <w:szCs w:val="22"/>
          <w:lang w:val="en-AU"/>
        </w:rPr>
        <w:t xml:space="preserve"> </w:t>
      </w:r>
      <w:hyperlink r:id="rId16" w:history="1">
        <w:r w:rsidR="004A3685" w:rsidRPr="000544D0">
          <w:rPr>
            <w:rStyle w:val="Hyperlink"/>
            <w:szCs w:val="22"/>
            <w:lang w:val="en-AU"/>
          </w:rPr>
          <w:t>information for submitters</w:t>
        </w:r>
      </w:hyperlink>
      <w:r w:rsidR="004A3685" w:rsidRPr="000544D0">
        <w:rPr>
          <w:color w:val="000000"/>
          <w:szCs w:val="22"/>
          <w:lang w:val="en-AU"/>
        </w:rPr>
        <w:t>.</w:t>
      </w:r>
    </w:p>
    <w:p w14:paraId="651B5AEF" w14:textId="77777777" w:rsidR="00E203C2" w:rsidRPr="000544D0" w:rsidRDefault="00E203C2" w:rsidP="00E203C2">
      <w:pPr>
        <w:rPr>
          <w:color w:val="000000"/>
          <w:szCs w:val="22"/>
          <w:lang w:val="en-AU"/>
        </w:rPr>
      </w:pPr>
    </w:p>
    <w:p w14:paraId="657C7BAE" w14:textId="77777777" w:rsidR="00351B07" w:rsidRPr="000544D0" w:rsidRDefault="00E063C6" w:rsidP="00E203C2">
      <w:pPr>
        <w:rPr>
          <w:color w:val="000000"/>
          <w:szCs w:val="22"/>
          <w:lang w:val="en-AU"/>
        </w:rPr>
      </w:pPr>
      <w:r w:rsidRPr="000544D0">
        <w:rPr>
          <w:color w:val="000000"/>
          <w:szCs w:val="22"/>
          <w:lang w:val="en-AU"/>
        </w:rPr>
        <w:t xml:space="preserve">Submissions </w:t>
      </w:r>
      <w:r w:rsidR="00351B07" w:rsidRPr="000544D0">
        <w:rPr>
          <w:color w:val="000000"/>
          <w:szCs w:val="22"/>
          <w:lang w:val="en-AU"/>
        </w:rPr>
        <w:t>should</w:t>
      </w:r>
      <w:r w:rsidRPr="000544D0">
        <w:rPr>
          <w:color w:val="000000"/>
          <w:szCs w:val="22"/>
          <w:lang w:val="en-AU"/>
        </w:rPr>
        <w:t xml:space="preserve"> be made in writing</w:t>
      </w:r>
      <w:r w:rsidR="00351B07" w:rsidRPr="000544D0">
        <w:rPr>
          <w:color w:val="000000"/>
          <w:szCs w:val="22"/>
          <w:lang w:val="en-AU"/>
        </w:rPr>
        <w:t>;</w:t>
      </w:r>
      <w:r w:rsidRPr="000544D0">
        <w:rPr>
          <w:color w:val="000000"/>
          <w:szCs w:val="22"/>
          <w:lang w:val="en-AU"/>
        </w:rPr>
        <w:t xml:space="preserve"> be marked </w:t>
      </w:r>
      <w:r w:rsidR="00351B07" w:rsidRPr="000544D0">
        <w:rPr>
          <w:color w:val="000000"/>
          <w:szCs w:val="22"/>
          <w:lang w:val="en-AU"/>
        </w:rPr>
        <w:t xml:space="preserve">clearly </w:t>
      </w:r>
      <w:r w:rsidRPr="000544D0">
        <w:rPr>
          <w:color w:val="000000"/>
          <w:szCs w:val="22"/>
          <w:lang w:val="en-AU"/>
        </w:rPr>
        <w:t>with the word ‘Submission’ and quote the correct project number and name</w:t>
      </w:r>
      <w:r w:rsidR="003309A8" w:rsidRPr="000544D0">
        <w:rPr>
          <w:color w:val="000000"/>
          <w:szCs w:val="22"/>
          <w:lang w:val="en-AU"/>
        </w:rPr>
        <w:t xml:space="preserve">. </w:t>
      </w:r>
      <w:r w:rsidRPr="000544D0">
        <w:rPr>
          <w:color w:val="000000"/>
          <w:szCs w:val="22"/>
          <w:lang w:val="en-AU"/>
        </w:rPr>
        <w:t xml:space="preserve">While FSANZ accepts submissions in hard copy to our offices, it is more convenient and quicker to receive submissions electronically through the FSANZ website </w:t>
      </w:r>
      <w:r w:rsidR="0037520F" w:rsidRPr="000544D0">
        <w:rPr>
          <w:color w:val="000000"/>
          <w:szCs w:val="22"/>
          <w:lang w:val="en-AU"/>
        </w:rPr>
        <w:t xml:space="preserve">via the link on </w:t>
      </w:r>
      <w:hyperlink r:id="rId17" w:history="1">
        <w:r w:rsidR="008C0E7A" w:rsidRPr="000544D0">
          <w:rPr>
            <w:rStyle w:val="Hyperlink"/>
            <w:szCs w:val="22"/>
          </w:rPr>
          <w:t>documents for public comment</w:t>
        </w:r>
      </w:hyperlink>
      <w:r w:rsidR="003309A8" w:rsidRPr="000544D0">
        <w:rPr>
          <w:color w:val="000000"/>
          <w:szCs w:val="22"/>
          <w:lang w:val="en-AU"/>
        </w:rPr>
        <w:t>.</w:t>
      </w:r>
      <w:r w:rsidR="008C0E7A" w:rsidRPr="000544D0">
        <w:rPr>
          <w:color w:val="000000"/>
          <w:szCs w:val="22"/>
          <w:lang w:val="en-AU"/>
        </w:rPr>
        <w:t xml:space="preserve"> </w:t>
      </w:r>
      <w:r w:rsidR="0037520F" w:rsidRPr="000544D0">
        <w:rPr>
          <w:color w:val="000000"/>
          <w:szCs w:val="22"/>
          <w:lang w:val="en-AU"/>
        </w:rPr>
        <w:t>You can also</w:t>
      </w:r>
      <w:r w:rsidRPr="000544D0">
        <w:rPr>
          <w:color w:val="000000"/>
          <w:szCs w:val="22"/>
          <w:lang w:val="en-AU"/>
        </w:rPr>
        <w:t xml:space="preserve"> email your submission directly to </w:t>
      </w:r>
      <w:hyperlink r:id="rId18" w:history="1">
        <w:r w:rsidRPr="000544D0">
          <w:rPr>
            <w:rStyle w:val="Hyperlink"/>
            <w:rFonts w:cs="Arial"/>
            <w:szCs w:val="22"/>
            <w:lang w:val="en-AU"/>
          </w:rPr>
          <w:t>submissions@foodstandards.gov.au</w:t>
        </w:r>
      </w:hyperlink>
      <w:r w:rsidR="003309A8" w:rsidRPr="000544D0">
        <w:rPr>
          <w:color w:val="000000"/>
          <w:szCs w:val="22"/>
          <w:lang w:val="en-AU"/>
        </w:rPr>
        <w:t xml:space="preserve">. </w:t>
      </w:r>
    </w:p>
    <w:p w14:paraId="73A1C1E3" w14:textId="77777777" w:rsidR="00E203C2" w:rsidRPr="000544D0" w:rsidRDefault="00E203C2" w:rsidP="00E203C2">
      <w:pPr>
        <w:rPr>
          <w:color w:val="000000"/>
          <w:szCs w:val="22"/>
          <w:lang w:val="en-AU"/>
        </w:rPr>
      </w:pPr>
    </w:p>
    <w:p w14:paraId="1F980F16" w14:textId="77777777" w:rsidR="00E063C6" w:rsidRPr="000544D0" w:rsidRDefault="00E063C6" w:rsidP="00E203C2">
      <w:pPr>
        <w:rPr>
          <w:color w:val="000000"/>
          <w:szCs w:val="22"/>
          <w:lang w:val="en-AU"/>
        </w:rPr>
      </w:pPr>
      <w:r w:rsidRPr="000544D0">
        <w:rPr>
          <w:color w:val="000000"/>
          <w:szCs w:val="22"/>
          <w:lang w:val="en-AU"/>
        </w:rPr>
        <w:t xml:space="preserve">There is no need to send a hard copy of your submission if you have submitted it by email or </w:t>
      </w:r>
      <w:r w:rsidR="0037520F" w:rsidRPr="000544D0">
        <w:rPr>
          <w:color w:val="000000"/>
          <w:szCs w:val="22"/>
          <w:lang w:val="en-AU"/>
        </w:rPr>
        <w:t xml:space="preserve">via </w:t>
      </w:r>
      <w:r w:rsidRPr="000544D0">
        <w:rPr>
          <w:color w:val="000000"/>
          <w:szCs w:val="22"/>
          <w:lang w:val="en-AU"/>
        </w:rPr>
        <w:t>the FSANZ website</w:t>
      </w:r>
      <w:r w:rsidR="003309A8" w:rsidRPr="000544D0">
        <w:rPr>
          <w:color w:val="000000"/>
          <w:szCs w:val="22"/>
          <w:lang w:val="en-AU"/>
        </w:rPr>
        <w:t xml:space="preserve">. </w:t>
      </w:r>
      <w:r w:rsidRPr="000544D0">
        <w:rPr>
          <w:color w:val="000000"/>
          <w:szCs w:val="22"/>
          <w:lang w:val="en-AU"/>
        </w:rPr>
        <w:t>FSANZ endeavours to formally acknowledge receipt of submissions within 3 business days.</w:t>
      </w:r>
    </w:p>
    <w:p w14:paraId="27878EF1" w14:textId="77777777" w:rsidR="00E203C2" w:rsidRPr="00D676CF" w:rsidRDefault="00E203C2" w:rsidP="00E203C2">
      <w:pPr>
        <w:rPr>
          <w:color w:val="000000"/>
          <w:sz w:val="20"/>
          <w:lang w:val="en-AU"/>
        </w:rPr>
      </w:pPr>
    </w:p>
    <w:p w14:paraId="16838620" w14:textId="6E28CB97" w:rsidR="00E063C6" w:rsidRPr="0036485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364851" w:rsidRPr="00364851">
        <w:rPr>
          <w:rFonts w:cs="Arial"/>
          <w:b/>
          <w:bCs/>
          <w:sz w:val="24"/>
        </w:rPr>
        <w:t>24 May 2018</w:t>
      </w:r>
    </w:p>
    <w:p w14:paraId="4EBD338B" w14:textId="77777777" w:rsidR="00E203C2" w:rsidRPr="007C174F" w:rsidRDefault="00E203C2" w:rsidP="00E203C2">
      <w:pPr>
        <w:rPr>
          <w:sz w:val="20"/>
          <w:szCs w:val="20"/>
          <w:lang w:val="en-AU"/>
        </w:rPr>
      </w:pPr>
    </w:p>
    <w:p w14:paraId="4B6F44FF" w14:textId="77777777" w:rsidR="00E063C6" w:rsidRPr="000544D0" w:rsidRDefault="00E063C6" w:rsidP="00E203C2">
      <w:pPr>
        <w:rPr>
          <w:szCs w:val="22"/>
          <w:lang w:val="en-AU"/>
        </w:rPr>
      </w:pPr>
      <w:r w:rsidRPr="000544D0">
        <w:rPr>
          <w:szCs w:val="22"/>
          <w:lang w:val="en-AU"/>
        </w:rPr>
        <w:t xml:space="preserve">Submissions received after this date will </w:t>
      </w:r>
      <w:r w:rsidR="00351B07" w:rsidRPr="000544D0">
        <w:rPr>
          <w:szCs w:val="22"/>
          <w:lang w:val="en-AU"/>
        </w:rPr>
        <w:t>not</w:t>
      </w:r>
      <w:r w:rsidRPr="000544D0">
        <w:rPr>
          <w:szCs w:val="22"/>
          <w:lang w:val="en-AU"/>
        </w:rPr>
        <w:t xml:space="preserve"> be considered </w:t>
      </w:r>
      <w:r w:rsidR="00351B07" w:rsidRPr="000544D0">
        <w:rPr>
          <w:szCs w:val="22"/>
          <w:lang w:val="en-AU"/>
        </w:rPr>
        <w:t>unless</w:t>
      </w:r>
      <w:r w:rsidRPr="000544D0">
        <w:rPr>
          <w:szCs w:val="22"/>
          <w:lang w:val="en-AU"/>
        </w:rPr>
        <w:t xml:space="preserve"> an extension ha</w:t>
      </w:r>
      <w:r w:rsidR="00D22F3C" w:rsidRPr="000544D0">
        <w:rPr>
          <w:szCs w:val="22"/>
          <w:lang w:val="en-AU"/>
        </w:rPr>
        <w:t>d</w:t>
      </w:r>
      <w:r w:rsidRPr="000544D0">
        <w:rPr>
          <w:szCs w:val="22"/>
          <w:lang w:val="en-AU"/>
        </w:rPr>
        <w:t xml:space="preserve"> been given </w:t>
      </w:r>
      <w:r w:rsidR="0037520F" w:rsidRPr="000544D0">
        <w:rPr>
          <w:szCs w:val="22"/>
          <w:lang w:val="en-AU"/>
        </w:rPr>
        <w:t xml:space="preserve">before </w:t>
      </w:r>
      <w:r w:rsidRPr="000544D0">
        <w:rPr>
          <w:szCs w:val="22"/>
          <w:lang w:val="en-AU"/>
        </w:rPr>
        <w:t>th</w:t>
      </w:r>
      <w:r w:rsidR="00351B07" w:rsidRPr="000544D0">
        <w:rPr>
          <w:szCs w:val="22"/>
          <w:lang w:val="en-AU"/>
        </w:rPr>
        <w:t>e</w:t>
      </w:r>
      <w:r w:rsidRPr="000544D0">
        <w:rPr>
          <w:szCs w:val="22"/>
          <w:lang w:val="en-AU"/>
        </w:rPr>
        <w:t xml:space="preserve"> closing date</w:t>
      </w:r>
      <w:r w:rsidR="003309A8" w:rsidRPr="000544D0">
        <w:rPr>
          <w:szCs w:val="22"/>
          <w:lang w:val="en-AU"/>
        </w:rPr>
        <w:t xml:space="preserve">. </w:t>
      </w:r>
      <w:r w:rsidR="0037520F" w:rsidRPr="000544D0">
        <w:rPr>
          <w:szCs w:val="22"/>
          <w:lang w:val="en-AU"/>
        </w:rPr>
        <w:t xml:space="preserve">Extensions will only be granted due to </w:t>
      </w:r>
      <w:r w:rsidRPr="000544D0">
        <w:rPr>
          <w:szCs w:val="22"/>
          <w:lang w:val="en-AU"/>
        </w:rPr>
        <w:t xml:space="preserve">extraordinary circumstances </w:t>
      </w:r>
      <w:r w:rsidR="0037520F" w:rsidRPr="000544D0">
        <w:rPr>
          <w:szCs w:val="22"/>
          <w:lang w:val="en-AU"/>
        </w:rPr>
        <w:t xml:space="preserve">during the </w:t>
      </w:r>
      <w:r w:rsidRPr="000544D0">
        <w:rPr>
          <w:szCs w:val="22"/>
          <w:lang w:val="en-AU"/>
        </w:rPr>
        <w:t>submission period</w:t>
      </w:r>
      <w:r w:rsidR="003309A8" w:rsidRPr="000544D0">
        <w:rPr>
          <w:szCs w:val="22"/>
          <w:lang w:val="en-AU"/>
        </w:rPr>
        <w:t xml:space="preserve">. </w:t>
      </w:r>
      <w:r w:rsidRPr="000544D0">
        <w:rPr>
          <w:szCs w:val="22"/>
          <w:lang w:val="en-AU"/>
        </w:rPr>
        <w:t>Any agreed extension will be notified on the FSANZ website and will apply to all submitters.</w:t>
      </w:r>
    </w:p>
    <w:p w14:paraId="06B6BAE4" w14:textId="77777777" w:rsidR="00E203C2" w:rsidRPr="000544D0" w:rsidRDefault="00E203C2" w:rsidP="00E203C2">
      <w:pPr>
        <w:rPr>
          <w:szCs w:val="22"/>
          <w:lang w:val="en-AU"/>
        </w:rPr>
      </w:pPr>
    </w:p>
    <w:p w14:paraId="43A44807" w14:textId="3AE12145" w:rsidR="00E063C6" w:rsidRPr="000544D0" w:rsidRDefault="0037520F" w:rsidP="00E203C2">
      <w:pPr>
        <w:rPr>
          <w:szCs w:val="22"/>
          <w:lang w:val="en-AU"/>
        </w:rPr>
      </w:pPr>
      <w:r w:rsidRPr="000544D0">
        <w:rPr>
          <w:szCs w:val="22"/>
          <w:lang w:val="en-AU"/>
        </w:rPr>
        <w:t>Questions about</w:t>
      </w:r>
      <w:r w:rsidR="00E063C6" w:rsidRPr="000544D0">
        <w:rPr>
          <w:szCs w:val="22"/>
          <w:lang w:val="en-AU"/>
        </w:rPr>
        <w:t xml:space="preserve"> making submissions or the application process can be </w:t>
      </w:r>
      <w:r w:rsidRPr="000544D0">
        <w:rPr>
          <w:szCs w:val="22"/>
          <w:lang w:val="en-AU"/>
        </w:rPr>
        <w:t>sent to</w:t>
      </w:r>
      <w:r w:rsidR="00E063C6" w:rsidRPr="000544D0">
        <w:rPr>
          <w:szCs w:val="22"/>
          <w:lang w:val="en-AU"/>
        </w:rPr>
        <w:t xml:space="preserve"> </w:t>
      </w:r>
      <w:hyperlink r:id="rId19" w:history="1">
        <w:r w:rsidR="00E063C6" w:rsidRPr="000544D0">
          <w:rPr>
            <w:rStyle w:val="Hyperlink"/>
            <w:rFonts w:cs="Arial"/>
            <w:szCs w:val="22"/>
            <w:lang w:val="en-AU"/>
          </w:rPr>
          <w:t>standards.management@foodstandards.gov.au</w:t>
        </w:r>
      </w:hyperlink>
      <w:r w:rsidR="00E063C6" w:rsidRPr="000544D0">
        <w:rPr>
          <w:szCs w:val="22"/>
          <w:lang w:val="en-AU"/>
        </w:rPr>
        <w:t xml:space="preserve">. </w:t>
      </w:r>
      <w:r w:rsidR="00351B07" w:rsidRPr="000544D0">
        <w:rPr>
          <w:szCs w:val="22"/>
          <w:lang w:val="en-AU"/>
        </w:rPr>
        <w:t>Hard</w:t>
      </w:r>
      <w:r w:rsidR="00E063C6" w:rsidRPr="000544D0">
        <w:rPr>
          <w:szCs w:val="22"/>
          <w:lang w:val="en-AU"/>
        </w:rPr>
        <w:t xml:space="preserve"> copy submissions may be sent to one of the following addresses:</w:t>
      </w:r>
    </w:p>
    <w:p w14:paraId="106C1D12" w14:textId="77777777" w:rsidR="00E203C2" w:rsidRPr="000544D0" w:rsidRDefault="00E203C2" w:rsidP="00E203C2">
      <w:pPr>
        <w:rPr>
          <w:szCs w:val="22"/>
          <w:lang w:val="en-AU"/>
        </w:rPr>
      </w:pPr>
    </w:p>
    <w:p w14:paraId="1EA3FDEE" w14:textId="77777777" w:rsidR="00E203C2" w:rsidRPr="000544D0" w:rsidRDefault="00E063C6" w:rsidP="00E203C2">
      <w:pPr>
        <w:tabs>
          <w:tab w:val="left" w:pos="4536"/>
        </w:tabs>
        <w:rPr>
          <w:szCs w:val="22"/>
        </w:rPr>
      </w:pPr>
      <w:r w:rsidRPr="000544D0">
        <w:rPr>
          <w:szCs w:val="22"/>
        </w:rPr>
        <w:lastRenderedPageBreak/>
        <w:t>Food Standards Australia New Zealand</w:t>
      </w:r>
      <w:r w:rsidRPr="000544D0">
        <w:rPr>
          <w:szCs w:val="22"/>
        </w:rPr>
        <w:tab/>
      </w:r>
      <w:r w:rsidRPr="000544D0">
        <w:rPr>
          <w:szCs w:val="22"/>
        </w:rPr>
        <w:tab/>
        <w:t>Food Standards Australia New Zealand</w:t>
      </w:r>
    </w:p>
    <w:p w14:paraId="14514464" w14:textId="77777777" w:rsidR="00E203C2" w:rsidRPr="000544D0" w:rsidRDefault="00E063C6" w:rsidP="00E203C2">
      <w:pPr>
        <w:tabs>
          <w:tab w:val="left" w:pos="4536"/>
        </w:tabs>
        <w:rPr>
          <w:szCs w:val="22"/>
        </w:rPr>
      </w:pPr>
      <w:r w:rsidRPr="000544D0">
        <w:rPr>
          <w:szCs w:val="22"/>
        </w:rPr>
        <w:t xml:space="preserve">PO Box </w:t>
      </w:r>
      <w:r w:rsidR="00685269" w:rsidRPr="000544D0">
        <w:rPr>
          <w:szCs w:val="22"/>
        </w:rPr>
        <w:t>5423</w:t>
      </w:r>
      <w:r w:rsidRPr="000544D0">
        <w:rPr>
          <w:szCs w:val="22"/>
        </w:rPr>
        <w:tab/>
      </w:r>
      <w:r w:rsidRPr="000544D0">
        <w:rPr>
          <w:szCs w:val="22"/>
        </w:rPr>
        <w:tab/>
        <w:t>PO Box 10559</w:t>
      </w:r>
    </w:p>
    <w:p w14:paraId="0CB97B43" w14:textId="07EF76E7" w:rsidR="00E203C2" w:rsidRPr="000544D0" w:rsidRDefault="004F60EB" w:rsidP="00E203C2">
      <w:pPr>
        <w:tabs>
          <w:tab w:val="left" w:pos="4536"/>
        </w:tabs>
        <w:rPr>
          <w:szCs w:val="22"/>
        </w:rPr>
      </w:pPr>
      <w:r w:rsidRPr="000544D0">
        <w:rPr>
          <w:szCs w:val="22"/>
        </w:rPr>
        <w:t>KINGSTON ACT 2604</w:t>
      </w:r>
      <w:r w:rsidR="00E063C6" w:rsidRPr="000544D0">
        <w:rPr>
          <w:szCs w:val="22"/>
        </w:rPr>
        <w:tab/>
      </w:r>
      <w:r w:rsidR="00E063C6" w:rsidRPr="000544D0">
        <w:rPr>
          <w:szCs w:val="22"/>
        </w:rPr>
        <w:tab/>
        <w:t>The Terrace WELLINGTON 6143</w:t>
      </w:r>
    </w:p>
    <w:p w14:paraId="42BA5F07" w14:textId="77777777" w:rsidR="00E063C6" w:rsidRPr="000544D0" w:rsidRDefault="00E063C6" w:rsidP="00E203C2">
      <w:pPr>
        <w:tabs>
          <w:tab w:val="left" w:pos="4536"/>
        </w:tabs>
        <w:rPr>
          <w:szCs w:val="22"/>
        </w:rPr>
      </w:pPr>
      <w:r w:rsidRPr="000544D0">
        <w:rPr>
          <w:szCs w:val="22"/>
        </w:rPr>
        <w:t>AUSTRALIA</w:t>
      </w:r>
      <w:r w:rsidRPr="000544D0">
        <w:rPr>
          <w:szCs w:val="22"/>
        </w:rPr>
        <w:tab/>
      </w:r>
      <w:r w:rsidRPr="000544D0">
        <w:rPr>
          <w:szCs w:val="22"/>
        </w:rPr>
        <w:tab/>
        <w:t>NEW ZEALAND</w:t>
      </w:r>
    </w:p>
    <w:p w14:paraId="02DC7766" w14:textId="77777777" w:rsidR="00413CA8" w:rsidRPr="000544D0" w:rsidRDefault="00E063C6" w:rsidP="00203540">
      <w:pPr>
        <w:tabs>
          <w:tab w:val="left" w:pos="4536"/>
        </w:tabs>
        <w:rPr>
          <w:szCs w:val="22"/>
        </w:rPr>
      </w:pPr>
      <w:r w:rsidRPr="000544D0">
        <w:rPr>
          <w:szCs w:val="22"/>
        </w:rPr>
        <w:t xml:space="preserve">Tel </w:t>
      </w:r>
      <w:r w:rsidR="00DD3C5E" w:rsidRPr="000544D0">
        <w:rPr>
          <w:szCs w:val="22"/>
        </w:rPr>
        <w:t>+61 2</w:t>
      </w:r>
      <w:r w:rsidRPr="000544D0">
        <w:rPr>
          <w:szCs w:val="22"/>
        </w:rPr>
        <w:t xml:space="preserve"> 6271 2222  </w:t>
      </w:r>
      <w:r w:rsidRPr="000544D0">
        <w:rPr>
          <w:szCs w:val="22"/>
        </w:rPr>
        <w:tab/>
      </w:r>
      <w:r w:rsidRPr="000544D0">
        <w:rPr>
          <w:szCs w:val="22"/>
        </w:rPr>
        <w:tab/>
        <w:t xml:space="preserve">Tel </w:t>
      </w:r>
      <w:r w:rsidR="00DD3C5E" w:rsidRPr="000544D0">
        <w:rPr>
          <w:szCs w:val="22"/>
        </w:rPr>
        <w:t>+64 4</w:t>
      </w:r>
      <w:r w:rsidR="0037520F" w:rsidRPr="000544D0">
        <w:rPr>
          <w:szCs w:val="22"/>
        </w:rPr>
        <w:t xml:space="preserve"> 978 5630</w:t>
      </w:r>
    </w:p>
    <w:p w14:paraId="5EDD2E17" w14:textId="77777777" w:rsidR="00D22F3C" w:rsidRPr="007C174F" w:rsidRDefault="00D22F3C" w:rsidP="00203540">
      <w:pPr>
        <w:tabs>
          <w:tab w:val="left" w:pos="4536"/>
        </w:tabs>
        <w:rPr>
          <w:rFonts w:cs="Arial"/>
          <w:bCs/>
          <w:color w:val="FF0000"/>
          <w:sz w:val="20"/>
          <w:szCs w:val="20"/>
        </w:rPr>
      </w:pPr>
    </w:p>
    <w:p w14:paraId="663DFE60"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7354876F"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CDC9002" w14:textId="77777777" w:rsidR="00562917" w:rsidRPr="00AE766D" w:rsidRDefault="00562917" w:rsidP="00051ED9">
      <w:pPr>
        <w:rPr>
          <w:rFonts w:cs="Arial"/>
        </w:rPr>
      </w:pPr>
    </w:p>
    <w:p w14:paraId="457926B0" w14:textId="49E37F9B" w:rsidR="00F81C52" w:rsidRDefault="00051ED9">
      <w:pPr>
        <w:pStyle w:val="TOC1"/>
        <w:tabs>
          <w:tab w:val="right" w:leader="dot" w:pos="9060"/>
        </w:tabs>
        <w:rPr>
          <w:rFonts w:eastAsiaTheme="minorEastAsia" w:cstheme="minorBidi"/>
          <w:b w:val="0"/>
          <w:bCs w:val="0"/>
          <w:caps w:val="0"/>
          <w:noProof/>
          <w:sz w:val="22"/>
          <w:szCs w:val="22"/>
          <w:lang w:val="en-NZ" w:eastAsia="en-NZ" w:bidi="ar-SA"/>
        </w:rPr>
      </w:pPr>
      <w:r w:rsidRPr="000544D0">
        <w:rPr>
          <w:rFonts w:ascii="Arial" w:hAnsi="Arial" w:cs="Arial"/>
          <w:sz w:val="22"/>
          <w:szCs w:val="22"/>
        </w:rPr>
        <w:fldChar w:fldCharType="begin"/>
      </w:r>
      <w:r w:rsidRPr="000544D0">
        <w:rPr>
          <w:rFonts w:ascii="Arial" w:hAnsi="Arial" w:cs="Arial"/>
          <w:sz w:val="22"/>
          <w:szCs w:val="22"/>
        </w:rPr>
        <w:instrText xml:space="preserve"> TOC \o "1-3" \h \z \u </w:instrText>
      </w:r>
      <w:r w:rsidRPr="000544D0">
        <w:rPr>
          <w:rFonts w:ascii="Arial" w:hAnsi="Arial" w:cs="Arial"/>
          <w:sz w:val="22"/>
          <w:szCs w:val="22"/>
        </w:rPr>
        <w:fldChar w:fldCharType="separate"/>
      </w:r>
      <w:hyperlink w:anchor="_Toc506454329" w:history="1">
        <w:r w:rsidR="00F81C52" w:rsidRPr="00E13174">
          <w:rPr>
            <w:rStyle w:val="Hyperlink"/>
            <w:noProof/>
          </w:rPr>
          <w:t>Executive summary</w:t>
        </w:r>
        <w:r w:rsidR="00F81C52">
          <w:rPr>
            <w:noProof/>
            <w:webHidden/>
          </w:rPr>
          <w:tab/>
        </w:r>
        <w:r w:rsidR="00F81C52">
          <w:rPr>
            <w:noProof/>
            <w:webHidden/>
          </w:rPr>
          <w:fldChar w:fldCharType="begin"/>
        </w:r>
        <w:r w:rsidR="00F81C52">
          <w:rPr>
            <w:noProof/>
            <w:webHidden/>
          </w:rPr>
          <w:instrText xml:space="preserve"> PAGEREF _Toc506454329 \h </w:instrText>
        </w:r>
        <w:r w:rsidR="00F81C52">
          <w:rPr>
            <w:noProof/>
            <w:webHidden/>
          </w:rPr>
        </w:r>
        <w:r w:rsidR="00F81C52">
          <w:rPr>
            <w:noProof/>
            <w:webHidden/>
          </w:rPr>
          <w:fldChar w:fldCharType="separate"/>
        </w:r>
        <w:r w:rsidR="00F81C52">
          <w:rPr>
            <w:noProof/>
            <w:webHidden/>
          </w:rPr>
          <w:t>2</w:t>
        </w:r>
        <w:r w:rsidR="00F81C52">
          <w:rPr>
            <w:noProof/>
            <w:webHidden/>
          </w:rPr>
          <w:fldChar w:fldCharType="end"/>
        </w:r>
      </w:hyperlink>
    </w:p>
    <w:p w14:paraId="53CDF4BE" w14:textId="5E4BF932" w:rsidR="00F81C52" w:rsidRDefault="00C2298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454330" w:history="1">
        <w:r w:rsidR="00F81C52" w:rsidRPr="00E13174">
          <w:rPr>
            <w:rStyle w:val="Hyperlink"/>
            <w:noProof/>
          </w:rPr>
          <w:t>1</w:t>
        </w:r>
        <w:r w:rsidR="00F81C52">
          <w:rPr>
            <w:rFonts w:eastAsiaTheme="minorEastAsia" w:cstheme="minorBidi"/>
            <w:b w:val="0"/>
            <w:bCs w:val="0"/>
            <w:caps w:val="0"/>
            <w:noProof/>
            <w:sz w:val="22"/>
            <w:szCs w:val="22"/>
            <w:lang w:val="en-NZ" w:eastAsia="en-NZ" w:bidi="ar-SA"/>
          </w:rPr>
          <w:tab/>
        </w:r>
        <w:r w:rsidR="00F81C52" w:rsidRPr="00E13174">
          <w:rPr>
            <w:rStyle w:val="Hyperlink"/>
            <w:noProof/>
          </w:rPr>
          <w:t>Introduction</w:t>
        </w:r>
        <w:r w:rsidR="00F81C52">
          <w:rPr>
            <w:noProof/>
            <w:webHidden/>
          </w:rPr>
          <w:tab/>
        </w:r>
        <w:r w:rsidR="00F81C52">
          <w:rPr>
            <w:noProof/>
            <w:webHidden/>
          </w:rPr>
          <w:fldChar w:fldCharType="begin"/>
        </w:r>
        <w:r w:rsidR="00F81C52">
          <w:rPr>
            <w:noProof/>
            <w:webHidden/>
          </w:rPr>
          <w:instrText xml:space="preserve"> PAGEREF _Toc506454330 \h </w:instrText>
        </w:r>
        <w:r w:rsidR="00F81C52">
          <w:rPr>
            <w:noProof/>
            <w:webHidden/>
          </w:rPr>
        </w:r>
        <w:r w:rsidR="00F81C52">
          <w:rPr>
            <w:noProof/>
            <w:webHidden/>
          </w:rPr>
          <w:fldChar w:fldCharType="separate"/>
        </w:r>
        <w:r w:rsidR="00F81C52">
          <w:rPr>
            <w:noProof/>
            <w:webHidden/>
          </w:rPr>
          <w:t>3</w:t>
        </w:r>
        <w:r w:rsidR="00F81C52">
          <w:rPr>
            <w:noProof/>
            <w:webHidden/>
          </w:rPr>
          <w:fldChar w:fldCharType="end"/>
        </w:r>
      </w:hyperlink>
    </w:p>
    <w:p w14:paraId="1F330FD1" w14:textId="77CD78F7"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1" w:history="1">
        <w:r w:rsidR="00F81C52" w:rsidRPr="00E13174">
          <w:rPr>
            <w:rStyle w:val="Hyperlink"/>
            <w:noProof/>
          </w:rPr>
          <w:t>1.1</w:t>
        </w:r>
        <w:r w:rsidR="00F81C52">
          <w:rPr>
            <w:rFonts w:eastAsiaTheme="minorEastAsia" w:cstheme="minorBidi"/>
            <w:smallCaps w:val="0"/>
            <w:noProof/>
            <w:sz w:val="22"/>
            <w:szCs w:val="22"/>
            <w:lang w:val="en-NZ" w:eastAsia="en-NZ" w:bidi="ar-SA"/>
          </w:rPr>
          <w:tab/>
        </w:r>
        <w:r w:rsidR="00F81C52" w:rsidRPr="00E13174">
          <w:rPr>
            <w:rStyle w:val="Hyperlink"/>
            <w:noProof/>
          </w:rPr>
          <w:t>The Applicant</w:t>
        </w:r>
        <w:r w:rsidR="00F81C52">
          <w:rPr>
            <w:noProof/>
            <w:webHidden/>
          </w:rPr>
          <w:tab/>
        </w:r>
        <w:r w:rsidR="00F81C52">
          <w:rPr>
            <w:noProof/>
            <w:webHidden/>
          </w:rPr>
          <w:fldChar w:fldCharType="begin"/>
        </w:r>
        <w:r w:rsidR="00F81C52">
          <w:rPr>
            <w:noProof/>
            <w:webHidden/>
          </w:rPr>
          <w:instrText xml:space="preserve"> PAGEREF _Toc506454331 \h </w:instrText>
        </w:r>
        <w:r w:rsidR="00F81C52">
          <w:rPr>
            <w:noProof/>
            <w:webHidden/>
          </w:rPr>
        </w:r>
        <w:r w:rsidR="00F81C52">
          <w:rPr>
            <w:noProof/>
            <w:webHidden/>
          </w:rPr>
          <w:fldChar w:fldCharType="separate"/>
        </w:r>
        <w:r w:rsidR="00F81C52">
          <w:rPr>
            <w:noProof/>
            <w:webHidden/>
          </w:rPr>
          <w:t>3</w:t>
        </w:r>
        <w:r w:rsidR="00F81C52">
          <w:rPr>
            <w:noProof/>
            <w:webHidden/>
          </w:rPr>
          <w:fldChar w:fldCharType="end"/>
        </w:r>
      </w:hyperlink>
    </w:p>
    <w:p w14:paraId="04F282E5" w14:textId="5C6BDE00"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2" w:history="1">
        <w:r w:rsidR="00F81C52" w:rsidRPr="00E13174">
          <w:rPr>
            <w:rStyle w:val="Hyperlink"/>
            <w:noProof/>
          </w:rPr>
          <w:t>1.2</w:t>
        </w:r>
        <w:r w:rsidR="00F81C52">
          <w:rPr>
            <w:rFonts w:eastAsiaTheme="minorEastAsia" w:cstheme="minorBidi"/>
            <w:smallCaps w:val="0"/>
            <w:noProof/>
            <w:sz w:val="22"/>
            <w:szCs w:val="22"/>
            <w:lang w:val="en-NZ" w:eastAsia="en-NZ" w:bidi="ar-SA"/>
          </w:rPr>
          <w:tab/>
        </w:r>
        <w:r w:rsidR="00F81C52" w:rsidRPr="00E13174">
          <w:rPr>
            <w:rStyle w:val="Hyperlink"/>
            <w:noProof/>
          </w:rPr>
          <w:t>The Application</w:t>
        </w:r>
        <w:r w:rsidR="00F81C52">
          <w:rPr>
            <w:noProof/>
            <w:webHidden/>
          </w:rPr>
          <w:tab/>
        </w:r>
        <w:r w:rsidR="00F81C52">
          <w:rPr>
            <w:noProof/>
            <w:webHidden/>
          </w:rPr>
          <w:fldChar w:fldCharType="begin"/>
        </w:r>
        <w:r w:rsidR="00F81C52">
          <w:rPr>
            <w:noProof/>
            <w:webHidden/>
          </w:rPr>
          <w:instrText xml:space="preserve"> PAGEREF _Toc506454332 \h </w:instrText>
        </w:r>
        <w:r w:rsidR="00F81C52">
          <w:rPr>
            <w:noProof/>
            <w:webHidden/>
          </w:rPr>
        </w:r>
        <w:r w:rsidR="00F81C52">
          <w:rPr>
            <w:noProof/>
            <w:webHidden/>
          </w:rPr>
          <w:fldChar w:fldCharType="separate"/>
        </w:r>
        <w:r w:rsidR="00F81C52">
          <w:rPr>
            <w:noProof/>
            <w:webHidden/>
          </w:rPr>
          <w:t>3</w:t>
        </w:r>
        <w:r w:rsidR="00F81C52">
          <w:rPr>
            <w:noProof/>
            <w:webHidden/>
          </w:rPr>
          <w:fldChar w:fldCharType="end"/>
        </w:r>
      </w:hyperlink>
    </w:p>
    <w:p w14:paraId="669446FB" w14:textId="44C9A421"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3" w:history="1">
        <w:r w:rsidR="00F81C52" w:rsidRPr="00E13174">
          <w:rPr>
            <w:rStyle w:val="Hyperlink"/>
            <w:noProof/>
          </w:rPr>
          <w:t>1.3</w:t>
        </w:r>
        <w:r w:rsidR="00F81C52">
          <w:rPr>
            <w:rFonts w:eastAsiaTheme="minorEastAsia" w:cstheme="minorBidi"/>
            <w:smallCaps w:val="0"/>
            <w:noProof/>
            <w:sz w:val="22"/>
            <w:szCs w:val="22"/>
            <w:lang w:val="en-NZ" w:eastAsia="en-NZ" w:bidi="ar-SA"/>
          </w:rPr>
          <w:tab/>
        </w:r>
        <w:r w:rsidR="00F81C52" w:rsidRPr="00E13174">
          <w:rPr>
            <w:rStyle w:val="Hyperlink"/>
            <w:noProof/>
          </w:rPr>
          <w:t>The current Standard</w:t>
        </w:r>
        <w:r w:rsidR="00F81C52">
          <w:rPr>
            <w:noProof/>
            <w:webHidden/>
          </w:rPr>
          <w:tab/>
        </w:r>
        <w:r w:rsidR="00F81C52">
          <w:rPr>
            <w:noProof/>
            <w:webHidden/>
          </w:rPr>
          <w:fldChar w:fldCharType="begin"/>
        </w:r>
        <w:r w:rsidR="00F81C52">
          <w:rPr>
            <w:noProof/>
            <w:webHidden/>
          </w:rPr>
          <w:instrText xml:space="preserve"> PAGEREF _Toc506454333 \h </w:instrText>
        </w:r>
        <w:r w:rsidR="00F81C52">
          <w:rPr>
            <w:noProof/>
            <w:webHidden/>
          </w:rPr>
        </w:r>
        <w:r w:rsidR="00F81C52">
          <w:rPr>
            <w:noProof/>
            <w:webHidden/>
          </w:rPr>
          <w:fldChar w:fldCharType="separate"/>
        </w:r>
        <w:r w:rsidR="00F81C52">
          <w:rPr>
            <w:noProof/>
            <w:webHidden/>
          </w:rPr>
          <w:t>3</w:t>
        </w:r>
        <w:r w:rsidR="00F81C52">
          <w:rPr>
            <w:noProof/>
            <w:webHidden/>
          </w:rPr>
          <w:fldChar w:fldCharType="end"/>
        </w:r>
      </w:hyperlink>
    </w:p>
    <w:p w14:paraId="61740970" w14:textId="7AEE3042"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34" w:history="1">
        <w:r w:rsidR="00F81C52" w:rsidRPr="00E13174">
          <w:rPr>
            <w:rStyle w:val="Hyperlink"/>
            <w:noProof/>
          </w:rPr>
          <w:t>1.3.1</w:t>
        </w:r>
        <w:r w:rsidR="00F81C52">
          <w:rPr>
            <w:rFonts w:eastAsiaTheme="minorEastAsia" w:cstheme="minorBidi"/>
            <w:i w:val="0"/>
            <w:iCs w:val="0"/>
            <w:noProof/>
            <w:sz w:val="22"/>
            <w:szCs w:val="22"/>
            <w:lang w:val="en-NZ" w:eastAsia="en-NZ" w:bidi="ar-SA"/>
          </w:rPr>
          <w:tab/>
        </w:r>
        <w:r w:rsidR="00F81C52" w:rsidRPr="00E13174">
          <w:rPr>
            <w:rStyle w:val="Hyperlink"/>
            <w:noProof/>
          </w:rPr>
          <w:t>International Standards</w:t>
        </w:r>
        <w:r w:rsidR="00F81C52">
          <w:rPr>
            <w:noProof/>
            <w:webHidden/>
          </w:rPr>
          <w:tab/>
        </w:r>
        <w:r w:rsidR="00F81C52">
          <w:rPr>
            <w:noProof/>
            <w:webHidden/>
          </w:rPr>
          <w:fldChar w:fldCharType="begin"/>
        </w:r>
        <w:r w:rsidR="00F81C52">
          <w:rPr>
            <w:noProof/>
            <w:webHidden/>
          </w:rPr>
          <w:instrText xml:space="preserve"> PAGEREF _Toc506454334 \h </w:instrText>
        </w:r>
        <w:r w:rsidR="00F81C52">
          <w:rPr>
            <w:noProof/>
            <w:webHidden/>
          </w:rPr>
        </w:r>
        <w:r w:rsidR="00F81C52">
          <w:rPr>
            <w:noProof/>
            <w:webHidden/>
          </w:rPr>
          <w:fldChar w:fldCharType="separate"/>
        </w:r>
        <w:r w:rsidR="00F81C52">
          <w:rPr>
            <w:noProof/>
            <w:webHidden/>
          </w:rPr>
          <w:t>3</w:t>
        </w:r>
        <w:r w:rsidR="00F81C52">
          <w:rPr>
            <w:noProof/>
            <w:webHidden/>
          </w:rPr>
          <w:fldChar w:fldCharType="end"/>
        </w:r>
      </w:hyperlink>
    </w:p>
    <w:p w14:paraId="3B9AEA00" w14:textId="055CAE55"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5" w:history="1">
        <w:r w:rsidR="00F81C52" w:rsidRPr="00E13174">
          <w:rPr>
            <w:rStyle w:val="Hyperlink"/>
            <w:noProof/>
          </w:rPr>
          <w:t>1.4</w:t>
        </w:r>
        <w:r w:rsidR="00F81C52">
          <w:rPr>
            <w:rFonts w:eastAsiaTheme="minorEastAsia" w:cstheme="minorBidi"/>
            <w:smallCaps w:val="0"/>
            <w:noProof/>
            <w:sz w:val="22"/>
            <w:szCs w:val="22"/>
            <w:lang w:val="en-NZ" w:eastAsia="en-NZ" w:bidi="ar-SA"/>
          </w:rPr>
          <w:tab/>
        </w:r>
        <w:r w:rsidR="00F81C52" w:rsidRPr="00E13174">
          <w:rPr>
            <w:rStyle w:val="Hyperlink"/>
            <w:noProof/>
          </w:rPr>
          <w:t>Reasons for accepting Application</w:t>
        </w:r>
        <w:r w:rsidR="00F81C52">
          <w:rPr>
            <w:noProof/>
            <w:webHidden/>
          </w:rPr>
          <w:tab/>
        </w:r>
        <w:r w:rsidR="00F81C52">
          <w:rPr>
            <w:noProof/>
            <w:webHidden/>
          </w:rPr>
          <w:fldChar w:fldCharType="begin"/>
        </w:r>
        <w:r w:rsidR="00F81C52">
          <w:rPr>
            <w:noProof/>
            <w:webHidden/>
          </w:rPr>
          <w:instrText xml:space="preserve"> PAGEREF _Toc506454335 \h </w:instrText>
        </w:r>
        <w:r w:rsidR="00F81C52">
          <w:rPr>
            <w:noProof/>
            <w:webHidden/>
          </w:rPr>
        </w:r>
        <w:r w:rsidR="00F81C52">
          <w:rPr>
            <w:noProof/>
            <w:webHidden/>
          </w:rPr>
          <w:fldChar w:fldCharType="separate"/>
        </w:r>
        <w:r w:rsidR="00F81C52">
          <w:rPr>
            <w:noProof/>
            <w:webHidden/>
          </w:rPr>
          <w:t>4</w:t>
        </w:r>
        <w:r w:rsidR="00F81C52">
          <w:rPr>
            <w:noProof/>
            <w:webHidden/>
          </w:rPr>
          <w:fldChar w:fldCharType="end"/>
        </w:r>
      </w:hyperlink>
    </w:p>
    <w:p w14:paraId="410FD373" w14:textId="4A7BF115"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6" w:history="1">
        <w:r w:rsidR="00F81C52" w:rsidRPr="00E13174">
          <w:rPr>
            <w:rStyle w:val="Hyperlink"/>
            <w:noProof/>
          </w:rPr>
          <w:t>1.5</w:t>
        </w:r>
        <w:r w:rsidR="00F81C52">
          <w:rPr>
            <w:rFonts w:eastAsiaTheme="minorEastAsia" w:cstheme="minorBidi"/>
            <w:smallCaps w:val="0"/>
            <w:noProof/>
            <w:sz w:val="22"/>
            <w:szCs w:val="22"/>
            <w:lang w:val="en-NZ" w:eastAsia="en-NZ" w:bidi="ar-SA"/>
          </w:rPr>
          <w:tab/>
        </w:r>
        <w:r w:rsidR="00F81C52" w:rsidRPr="00E13174">
          <w:rPr>
            <w:rStyle w:val="Hyperlink"/>
            <w:noProof/>
          </w:rPr>
          <w:t>Procedure for assessment</w:t>
        </w:r>
        <w:r w:rsidR="00F81C52">
          <w:rPr>
            <w:noProof/>
            <w:webHidden/>
          </w:rPr>
          <w:tab/>
        </w:r>
        <w:r w:rsidR="00F81C52">
          <w:rPr>
            <w:noProof/>
            <w:webHidden/>
          </w:rPr>
          <w:fldChar w:fldCharType="begin"/>
        </w:r>
        <w:r w:rsidR="00F81C52">
          <w:rPr>
            <w:noProof/>
            <w:webHidden/>
          </w:rPr>
          <w:instrText xml:space="preserve"> PAGEREF _Toc506454336 \h </w:instrText>
        </w:r>
        <w:r w:rsidR="00F81C52">
          <w:rPr>
            <w:noProof/>
            <w:webHidden/>
          </w:rPr>
        </w:r>
        <w:r w:rsidR="00F81C52">
          <w:rPr>
            <w:noProof/>
            <w:webHidden/>
          </w:rPr>
          <w:fldChar w:fldCharType="separate"/>
        </w:r>
        <w:r w:rsidR="00F81C52">
          <w:rPr>
            <w:noProof/>
            <w:webHidden/>
          </w:rPr>
          <w:t>4</w:t>
        </w:r>
        <w:r w:rsidR="00F81C52">
          <w:rPr>
            <w:noProof/>
            <w:webHidden/>
          </w:rPr>
          <w:fldChar w:fldCharType="end"/>
        </w:r>
      </w:hyperlink>
    </w:p>
    <w:p w14:paraId="172FA744" w14:textId="61F8E770" w:rsidR="00F81C52" w:rsidRDefault="00C2298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454337" w:history="1">
        <w:r w:rsidR="00F81C52" w:rsidRPr="00E13174">
          <w:rPr>
            <w:rStyle w:val="Hyperlink"/>
            <w:noProof/>
          </w:rPr>
          <w:t>2</w:t>
        </w:r>
        <w:r w:rsidR="00F81C52">
          <w:rPr>
            <w:rFonts w:eastAsiaTheme="minorEastAsia" w:cstheme="minorBidi"/>
            <w:b w:val="0"/>
            <w:bCs w:val="0"/>
            <w:caps w:val="0"/>
            <w:noProof/>
            <w:sz w:val="22"/>
            <w:szCs w:val="22"/>
            <w:lang w:val="en-NZ" w:eastAsia="en-NZ" w:bidi="ar-SA"/>
          </w:rPr>
          <w:tab/>
        </w:r>
        <w:r w:rsidR="00F81C52" w:rsidRPr="00E13174">
          <w:rPr>
            <w:rStyle w:val="Hyperlink"/>
            <w:noProof/>
          </w:rPr>
          <w:t>Summary of the assessment</w:t>
        </w:r>
        <w:r w:rsidR="00F81C52">
          <w:rPr>
            <w:noProof/>
            <w:webHidden/>
          </w:rPr>
          <w:tab/>
        </w:r>
        <w:r w:rsidR="00F81C52">
          <w:rPr>
            <w:noProof/>
            <w:webHidden/>
          </w:rPr>
          <w:fldChar w:fldCharType="begin"/>
        </w:r>
        <w:r w:rsidR="00F81C52">
          <w:rPr>
            <w:noProof/>
            <w:webHidden/>
          </w:rPr>
          <w:instrText xml:space="preserve"> PAGEREF _Toc506454337 \h </w:instrText>
        </w:r>
        <w:r w:rsidR="00F81C52">
          <w:rPr>
            <w:noProof/>
            <w:webHidden/>
          </w:rPr>
        </w:r>
        <w:r w:rsidR="00F81C52">
          <w:rPr>
            <w:noProof/>
            <w:webHidden/>
          </w:rPr>
          <w:fldChar w:fldCharType="separate"/>
        </w:r>
        <w:r w:rsidR="00F81C52">
          <w:rPr>
            <w:noProof/>
            <w:webHidden/>
          </w:rPr>
          <w:t>4</w:t>
        </w:r>
        <w:r w:rsidR="00F81C52">
          <w:rPr>
            <w:noProof/>
            <w:webHidden/>
          </w:rPr>
          <w:fldChar w:fldCharType="end"/>
        </w:r>
      </w:hyperlink>
    </w:p>
    <w:p w14:paraId="1A308FEE" w14:textId="3F064B78"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8" w:history="1">
        <w:r w:rsidR="00F81C52" w:rsidRPr="00E13174">
          <w:rPr>
            <w:rStyle w:val="Hyperlink"/>
            <w:noProof/>
          </w:rPr>
          <w:t>2.1</w:t>
        </w:r>
        <w:r w:rsidR="00F81C52">
          <w:rPr>
            <w:rFonts w:eastAsiaTheme="minorEastAsia" w:cstheme="minorBidi"/>
            <w:smallCaps w:val="0"/>
            <w:noProof/>
            <w:sz w:val="22"/>
            <w:szCs w:val="22"/>
            <w:lang w:val="en-NZ" w:eastAsia="en-NZ" w:bidi="ar-SA"/>
          </w:rPr>
          <w:tab/>
        </w:r>
        <w:r w:rsidR="00F81C52" w:rsidRPr="00E13174">
          <w:rPr>
            <w:rStyle w:val="Hyperlink"/>
            <w:noProof/>
          </w:rPr>
          <w:t>Risk and technical assessment</w:t>
        </w:r>
        <w:r w:rsidR="00F81C52">
          <w:rPr>
            <w:noProof/>
            <w:webHidden/>
          </w:rPr>
          <w:tab/>
        </w:r>
        <w:r w:rsidR="00F81C52">
          <w:rPr>
            <w:noProof/>
            <w:webHidden/>
          </w:rPr>
          <w:fldChar w:fldCharType="begin"/>
        </w:r>
        <w:r w:rsidR="00F81C52">
          <w:rPr>
            <w:noProof/>
            <w:webHidden/>
          </w:rPr>
          <w:instrText xml:space="preserve"> PAGEREF _Toc506454338 \h </w:instrText>
        </w:r>
        <w:r w:rsidR="00F81C52">
          <w:rPr>
            <w:noProof/>
            <w:webHidden/>
          </w:rPr>
        </w:r>
        <w:r w:rsidR="00F81C52">
          <w:rPr>
            <w:noProof/>
            <w:webHidden/>
          </w:rPr>
          <w:fldChar w:fldCharType="separate"/>
        </w:r>
        <w:r w:rsidR="00F81C52">
          <w:rPr>
            <w:noProof/>
            <w:webHidden/>
          </w:rPr>
          <w:t>4</w:t>
        </w:r>
        <w:r w:rsidR="00F81C52">
          <w:rPr>
            <w:noProof/>
            <w:webHidden/>
          </w:rPr>
          <w:fldChar w:fldCharType="end"/>
        </w:r>
      </w:hyperlink>
    </w:p>
    <w:p w14:paraId="540E6817" w14:textId="5E270432"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39" w:history="1">
        <w:r w:rsidR="00F81C52" w:rsidRPr="00E13174">
          <w:rPr>
            <w:rStyle w:val="Hyperlink"/>
            <w:noProof/>
          </w:rPr>
          <w:t>2.2</w:t>
        </w:r>
        <w:r w:rsidR="00F81C52">
          <w:rPr>
            <w:rFonts w:eastAsiaTheme="minorEastAsia" w:cstheme="minorBidi"/>
            <w:smallCaps w:val="0"/>
            <w:noProof/>
            <w:sz w:val="22"/>
            <w:szCs w:val="22"/>
            <w:lang w:val="en-NZ" w:eastAsia="en-NZ" w:bidi="ar-SA"/>
          </w:rPr>
          <w:tab/>
        </w:r>
        <w:r w:rsidR="00F81C52" w:rsidRPr="00E13174">
          <w:rPr>
            <w:rStyle w:val="Hyperlink"/>
            <w:noProof/>
          </w:rPr>
          <w:t>Risk management considerations</w:t>
        </w:r>
        <w:r w:rsidR="00F81C52">
          <w:rPr>
            <w:noProof/>
            <w:webHidden/>
          </w:rPr>
          <w:tab/>
        </w:r>
        <w:r w:rsidR="00F81C52">
          <w:rPr>
            <w:noProof/>
            <w:webHidden/>
          </w:rPr>
          <w:fldChar w:fldCharType="begin"/>
        </w:r>
        <w:r w:rsidR="00F81C52">
          <w:rPr>
            <w:noProof/>
            <w:webHidden/>
          </w:rPr>
          <w:instrText xml:space="preserve"> PAGEREF _Toc506454339 \h </w:instrText>
        </w:r>
        <w:r w:rsidR="00F81C52">
          <w:rPr>
            <w:noProof/>
            <w:webHidden/>
          </w:rPr>
        </w:r>
        <w:r w:rsidR="00F81C52">
          <w:rPr>
            <w:noProof/>
            <w:webHidden/>
          </w:rPr>
          <w:fldChar w:fldCharType="separate"/>
        </w:r>
        <w:r w:rsidR="00F81C52">
          <w:rPr>
            <w:noProof/>
            <w:webHidden/>
          </w:rPr>
          <w:t>5</w:t>
        </w:r>
        <w:r w:rsidR="00F81C52">
          <w:rPr>
            <w:noProof/>
            <w:webHidden/>
          </w:rPr>
          <w:fldChar w:fldCharType="end"/>
        </w:r>
      </w:hyperlink>
    </w:p>
    <w:p w14:paraId="47BC10E6" w14:textId="6413C930"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40" w:history="1">
        <w:r w:rsidR="00F81C52" w:rsidRPr="00E13174">
          <w:rPr>
            <w:rStyle w:val="Hyperlink"/>
            <w:noProof/>
          </w:rPr>
          <w:t>2.2.1</w:t>
        </w:r>
        <w:r w:rsidR="00F81C52">
          <w:rPr>
            <w:rFonts w:eastAsiaTheme="minorEastAsia" w:cstheme="minorBidi"/>
            <w:i w:val="0"/>
            <w:iCs w:val="0"/>
            <w:noProof/>
            <w:sz w:val="22"/>
            <w:szCs w:val="22"/>
            <w:lang w:val="en-NZ" w:eastAsia="en-NZ" w:bidi="ar-SA"/>
          </w:rPr>
          <w:tab/>
        </w:r>
        <w:r w:rsidR="00F81C52" w:rsidRPr="00E13174">
          <w:rPr>
            <w:rStyle w:val="Hyperlink"/>
            <w:noProof/>
          </w:rPr>
          <w:t>Source microorganism and enzyme nomenclature</w:t>
        </w:r>
        <w:r w:rsidR="00F81C52">
          <w:rPr>
            <w:noProof/>
            <w:webHidden/>
          </w:rPr>
          <w:tab/>
        </w:r>
        <w:r w:rsidR="00F81C52">
          <w:rPr>
            <w:noProof/>
            <w:webHidden/>
          </w:rPr>
          <w:fldChar w:fldCharType="begin"/>
        </w:r>
        <w:r w:rsidR="00F81C52">
          <w:rPr>
            <w:noProof/>
            <w:webHidden/>
          </w:rPr>
          <w:instrText xml:space="preserve"> PAGEREF _Toc506454340 \h </w:instrText>
        </w:r>
        <w:r w:rsidR="00F81C52">
          <w:rPr>
            <w:noProof/>
            <w:webHidden/>
          </w:rPr>
        </w:r>
        <w:r w:rsidR="00F81C52">
          <w:rPr>
            <w:noProof/>
            <w:webHidden/>
          </w:rPr>
          <w:fldChar w:fldCharType="separate"/>
        </w:r>
        <w:r w:rsidR="00F81C52">
          <w:rPr>
            <w:noProof/>
            <w:webHidden/>
          </w:rPr>
          <w:t>5</w:t>
        </w:r>
        <w:r w:rsidR="00F81C52">
          <w:rPr>
            <w:noProof/>
            <w:webHidden/>
          </w:rPr>
          <w:fldChar w:fldCharType="end"/>
        </w:r>
      </w:hyperlink>
    </w:p>
    <w:p w14:paraId="14E11987" w14:textId="5E0DD566"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41" w:history="1">
        <w:r w:rsidR="00F81C52" w:rsidRPr="00E13174">
          <w:rPr>
            <w:rStyle w:val="Hyperlink"/>
            <w:noProof/>
          </w:rPr>
          <w:t>2.2.2</w:t>
        </w:r>
        <w:r w:rsidR="00F81C52">
          <w:rPr>
            <w:rFonts w:eastAsiaTheme="minorEastAsia" w:cstheme="minorBidi"/>
            <w:i w:val="0"/>
            <w:iCs w:val="0"/>
            <w:noProof/>
            <w:sz w:val="22"/>
            <w:szCs w:val="22"/>
            <w:lang w:val="en-NZ" w:eastAsia="en-NZ" w:bidi="ar-SA"/>
          </w:rPr>
          <w:tab/>
        </w:r>
        <w:r w:rsidR="00F81C52" w:rsidRPr="00E13174">
          <w:rPr>
            <w:rStyle w:val="Hyperlink"/>
            <w:noProof/>
          </w:rPr>
          <w:t>Labelling considerations</w:t>
        </w:r>
        <w:r w:rsidR="00F81C52">
          <w:rPr>
            <w:noProof/>
            <w:webHidden/>
          </w:rPr>
          <w:tab/>
        </w:r>
        <w:r w:rsidR="00F81C52">
          <w:rPr>
            <w:noProof/>
            <w:webHidden/>
          </w:rPr>
          <w:fldChar w:fldCharType="begin"/>
        </w:r>
        <w:r w:rsidR="00F81C52">
          <w:rPr>
            <w:noProof/>
            <w:webHidden/>
          </w:rPr>
          <w:instrText xml:space="preserve"> PAGEREF _Toc506454341 \h </w:instrText>
        </w:r>
        <w:r w:rsidR="00F81C52">
          <w:rPr>
            <w:noProof/>
            <w:webHidden/>
          </w:rPr>
        </w:r>
        <w:r w:rsidR="00F81C52">
          <w:rPr>
            <w:noProof/>
            <w:webHidden/>
          </w:rPr>
          <w:fldChar w:fldCharType="separate"/>
        </w:r>
        <w:r w:rsidR="00F81C52">
          <w:rPr>
            <w:noProof/>
            <w:webHidden/>
          </w:rPr>
          <w:t>5</w:t>
        </w:r>
        <w:r w:rsidR="00F81C52">
          <w:rPr>
            <w:noProof/>
            <w:webHidden/>
          </w:rPr>
          <w:fldChar w:fldCharType="end"/>
        </w:r>
      </w:hyperlink>
    </w:p>
    <w:p w14:paraId="1A9D1EF2" w14:textId="77347D21"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42" w:history="1">
        <w:r w:rsidR="00F81C52" w:rsidRPr="00E13174">
          <w:rPr>
            <w:rStyle w:val="Hyperlink"/>
            <w:noProof/>
          </w:rPr>
          <w:t>2.2.3</w:t>
        </w:r>
        <w:r w:rsidR="00F81C52">
          <w:rPr>
            <w:rFonts w:eastAsiaTheme="minorEastAsia" w:cstheme="minorBidi"/>
            <w:i w:val="0"/>
            <w:iCs w:val="0"/>
            <w:noProof/>
            <w:sz w:val="22"/>
            <w:szCs w:val="22"/>
            <w:lang w:val="en-NZ" w:eastAsia="en-NZ" w:bidi="ar-SA"/>
          </w:rPr>
          <w:tab/>
        </w:r>
        <w:r w:rsidR="00F81C52" w:rsidRPr="00E13174">
          <w:rPr>
            <w:rStyle w:val="Hyperlink"/>
            <w:noProof/>
          </w:rPr>
          <w:t>Risk management conclusion</w:t>
        </w:r>
        <w:r w:rsidR="00F81C52">
          <w:rPr>
            <w:noProof/>
            <w:webHidden/>
          </w:rPr>
          <w:tab/>
        </w:r>
        <w:r w:rsidR="00F81C52">
          <w:rPr>
            <w:noProof/>
            <w:webHidden/>
          </w:rPr>
          <w:fldChar w:fldCharType="begin"/>
        </w:r>
        <w:r w:rsidR="00F81C52">
          <w:rPr>
            <w:noProof/>
            <w:webHidden/>
          </w:rPr>
          <w:instrText xml:space="preserve"> PAGEREF _Toc506454342 \h </w:instrText>
        </w:r>
        <w:r w:rsidR="00F81C52">
          <w:rPr>
            <w:noProof/>
            <w:webHidden/>
          </w:rPr>
        </w:r>
        <w:r w:rsidR="00F81C52">
          <w:rPr>
            <w:noProof/>
            <w:webHidden/>
          </w:rPr>
          <w:fldChar w:fldCharType="separate"/>
        </w:r>
        <w:r w:rsidR="00F81C52">
          <w:rPr>
            <w:noProof/>
            <w:webHidden/>
          </w:rPr>
          <w:t>5</w:t>
        </w:r>
        <w:r w:rsidR="00F81C52">
          <w:rPr>
            <w:noProof/>
            <w:webHidden/>
          </w:rPr>
          <w:fldChar w:fldCharType="end"/>
        </w:r>
      </w:hyperlink>
    </w:p>
    <w:p w14:paraId="18B8E7A8" w14:textId="0B0D85E1"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43" w:history="1">
        <w:r w:rsidR="00F81C52" w:rsidRPr="00E13174">
          <w:rPr>
            <w:rStyle w:val="Hyperlink"/>
            <w:noProof/>
          </w:rPr>
          <w:t>2.3</w:t>
        </w:r>
        <w:r w:rsidR="00F81C52">
          <w:rPr>
            <w:rFonts w:eastAsiaTheme="minorEastAsia" w:cstheme="minorBidi"/>
            <w:smallCaps w:val="0"/>
            <w:noProof/>
            <w:sz w:val="22"/>
            <w:szCs w:val="22"/>
            <w:lang w:val="en-NZ" w:eastAsia="en-NZ" w:bidi="ar-SA"/>
          </w:rPr>
          <w:tab/>
        </w:r>
        <w:r w:rsidR="00F81C52" w:rsidRPr="00E13174">
          <w:rPr>
            <w:rStyle w:val="Hyperlink"/>
            <w:noProof/>
          </w:rPr>
          <w:t>Risk communication</w:t>
        </w:r>
        <w:r w:rsidR="00F81C52">
          <w:rPr>
            <w:noProof/>
            <w:webHidden/>
          </w:rPr>
          <w:tab/>
        </w:r>
        <w:r w:rsidR="00F81C52">
          <w:rPr>
            <w:noProof/>
            <w:webHidden/>
          </w:rPr>
          <w:fldChar w:fldCharType="begin"/>
        </w:r>
        <w:r w:rsidR="00F81C52">
          <w:rPr>
            <w:noProof/>
            <w:webHidden/>
          </w:rPr>
          <w:instrText xml:space="preserve"> PAGEREF _Toc506454343 \h </w:instrText>
        </w:r>
        <w:r w:rsidR="00F81C52">
          <w:rPr>
            <w:noProof/>
            <w:webHidden/>
          </w:rPr>
        </w:r>
        <w:r w:rsidR="00F81C52">
          <w:rPr>
            <w:noProof/>
            <w:webHidden/>
          </w:rPr>
          <w:fldChar w:fldCharType="separate"/>
        </w:r>
        <w:r w:rsidR="00F81C52">
          <w:rPr>
            <w:noProof/>
            <w:webHidden/>
          </w:rPr>
          <w:t>6</w:t>
        </w:r>
        <w:r w:rsidR="00F81C52">
          <w:rPr>
            <w:noProof/>
            <w:webHidden/>
          </w:rPr>
          <w:fldChar w:fldCharType="end"/>
        </w:r>
      </w:hyperlink>
    </w:p>
    <w:p w14:paraId="089BE549" w14:textId="5CC08A05"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44" w:history="1">
        <w:r w:rsidR="00F81C52" w:rsidRPr="00E13174">
          <w:rPr>
            <w:rStyle w:val="Hyperlink"/>
            <w:noProof/>
          </w:rPr>
          <w:t>2.3.1</w:t>
        </w:r>
        <w:r w:rsidR="00F81C52">
          <w:rPr>
            <w:rFonts w:eastAsiaTheme="minorEastAsia" w:cstheme="minorBidi"/>
            <w:i w:val="0"/>
            <w:iCs w:val="0"/>
            <w:noProof/>
            <w:sz w:val="22"/>
            <w:szCs w:val="22"/>
            <w:lang w:val="en-NZ" w:eastAsia="en-NZ" w:bidi="ar-SA"/>
          </w:rPr>
          <w:tab/>
        </w:r>
        <w:r w:rsidR="00F81C52" w:rsidRPr="00E13174">
          <w:rPr>
            <w:rStyle w:val="Hyperlink"/>
            <w:noProof/>
          </w:rPr>
          <w:t>Consultation</w:t>
        </w:r>
        <w:r w:rsidR="00F81C52">
          <w:rPr>
            <w:noProof/>
            <w:webHidden/>
          </w:rPr>
          <w:tab/>
        </w:r>
        <w:r w:rsidR="00F81C52">
          <w:rPr>
            <w:noProof/>
            <w:webHidden/>
          </w:rPr>
          <w:fldChar w:fldCharType="begin"/>
        </w:r>
        <w:r w:rsidR="00F81C52">
          <w:rPr>
            <w:noProof/>
            <w:webHidden/>
          </w:rPr>
          <w:instrText xml:space="preserve"> PAGEREF _Toc506454344 \h </w:instrText>
        </w:r>
        <w:r w:rsidR="00F81C52">
          <w:rPr>
            <w:noProof/>
            <w:webHidden/>
          </w:rPr>
        </w:r>
        <w:r w:rsidR="00F81C52">
          <w:rPr>
            <w:noProof/>
            <w:webHidden/>
          </w:rPr>
          <w:fldChar w:fldCharType="separate"/>
        </w:r>
        <w:r w:rsidR="00F81C52">
          <w:rPr>
            <w:noProof/>
            <w:webHidden/>
          </w:rPr>
          <w:t>6</w:t>
        </w:r>
        <w:r w:rsidR="00F81C52">
          <w:rPr>
            <w:noProof/>
            <w:webHidden/>
          </w:rPr>
          <w:fldChar w:fldCharType="end"/>
        </w:r>
      </w:hyperlink>
    </w:p>
    <w:p w14:paraId="5FB7DF69" w14:textId="5DB73444"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45" w:history="1">
        <w:r w:rsidR="00F81C52" w:rsidRPr="00E13174">
          <w:rPr>
            <w:rStyle w:val="Hyperlink"/>
            <w:noProof/>
          </w:rPr>
          <w:t>2.3.2</w:t>
        </w:r>
        <w:r w:rsidR="00F81C52">
          <w:rPr>
            <w:rFonts w:eastAsiaTheme="minorEastAsia" w:cstheme="minorBidi"/>
            <w:i w:val="0"/>
            <w:iCs w:val="0"/>
            <w:noProof/>
            <w:sz w:val="22"/>
            <w:szCs w:val="22"/>
            <w:lang w:val="en-NZ" w:eastAsia="en-NZ" w:bidi="ar-SA"/>
          </w:rPr>
          <w:tab/>
        </w:r>
        <w:r w:rsidR="00F81C52" w:rsidRPr="00E13174">
          <w:rPr>
            <w:rStyle w:val="Hyperlink"/>
            <w:noProof/>
          </w:rPr>
          <w:t>World Trade Organization (WTO)</w:t>
        </w:r>
        <w:r w:rsidR="00F81C52">
          <w:rPr>
            <w:noProof/>
            <w:webHidden/>
          </w:rPr>
          <w:tab/>
        </w:r>
        <w:r w:rsidR="00F81C52">
          <w:rPr>
            <w:noProof/>
            <w:webHidden/>
          </w:rPr>
          <w:fldChar w:fldCharType="begin"/>
        </w:r>
        <w:r w:rsidR="00F81C52">
          <w:rPr>
            <w:noProof/>
            <w:webHidden/>
          </w:rPr>
          <w:instrText xml:space="preserve"> PAGEREF _Toc506454345 \h </w:instrText>
        </w:r>
        <w:r w:rsidR="00F81C52">
          <w:rPr>
            <w:noProof/>
            <w:webHidden/>
          </w:rPr>
        </w:r>
        <w:r w:rsidR="00F81C52">
          <w:rPr>
            <w:noProof/>
            <w:webHidden/>
          </w:rPr>
          <w:fldChar w:fldCharType="separate"/>
        </w:r>
        <w:r w:rsidR="00F81C52">
          <w:rPr>
            <w:noProof/>
            <w:webHidden/>
          </w:rPr>
          <w:t>7</w:t>
        </w:r>
        <w:r w:rsidR="00F81C52">
          <w:rPr>
            <w:noProof/>
            <w:webHidden/>
          </w:rPr>
          <w:fldChar w:fldCharType="end"/>
        </w:r>
      </w:hyperlink>
    </w:p>
    <w:p w14:paraId="2C029A55" w14:textId="6FD79336" w:rsidR="00F81C52" w:rsidRDefault="00C2298A">
      <w:pPr>
        <w:pStyle w:val="TOC2"/>
        <w:tabs>
          <w:tab w:val="left" w:pos="880"/>
          <w:tab w:val="right" w:leader="dot" w:pos="9060"/>
        </w:tabs>
        <w:rPr>
          <w:rFonts w:eastAsiaTheme="minorEastAsia" w:cstheme="minorBidi"/>
          <w:smallCaps w:val="0"/>
          <w:noProof/>
          <w:sz w:val="22"/>
          <w:szCs w:val="22"/>
          <w:lang w:val="en-NZ" w:eastAsia="en-NZ" w:bidi="ar-SA"/>
        </w:rPr>
      </w:pPr>
      <w:hyperlink w:anchor="_Toc506454346" w:history="1">
        <w:r w:rsidR="00F81C52" w:rsidRPr="00E13174">
          <w:rPr>
            <w:rStyle w:val="Hyperlink"/>
            <w:noProof/>
          </w:rPr>
          <w:t>2.4</w:t>
        </w:r>
        <w:r w:rsidR="00F81C52">
          <w:rPr>
            <w:rFonts w:eastAsiaTheme="minorEastAsia" w:cstheme="minorBidi"/>
            <w:smallCaps w:val="0"/>
            <w:noProof/>
            <w:sz w:val="22"/>
            <w:szCs w:val="22"/>
            <w:lang w:val="en-NZ" w:eastAsia="en-NZ" w:bidi="ar-SA"/>
          </w:rPr>
          <w:tab/>
        </w:r>
        <w:r w:rsidR="00F81C52" w:rsidRPr="00E13174">
          <w:rPr>
            <w:rStyle w:val="Hyperlink"/>
            <w:noProof/>
          </w:rPr>
          <w:t>FSANZ Act assessment requirements</w:t>
        </w:r>
        <w:r w:rsidR="00F81C52">
          <w:rPr>
            <w:noProof/>
            <w:webHidden/>
          </w:rPr>
          <w:tab/>
        </w:r>
        <w:r w:rsidR="00F81C52">
          <w:rPr>
            <w:noProof/>
            <w:webHidden/>
          </w:rPr>
          <w:fldChar w:fldCharType="begin"/>
        </w:r>
        <w:r w:rsidR="00F81C52">
          <w:rPr>
            <w:noProof/>
            <w:webHidden/>
          </w:rPr>
          <w:instrText xml:space="preserve"> PAGEREF _Toc506454346 \h </w:instrText>
        </w:r>
        <w:r w:rsidR="00F81C52">
          <w:rPr>
            <w:noProof/>
            <w:webHidden/>
          </w:rPr>
        </w:r>
        <w:r w:rsidR="00F81C52">
          <w:rPr>
            <w:noProof/>
            <w:webHidden/>
          </w:rPr>
          <w:fldChar w:fldCharType="separate"/>
        </w:r>
        <w:r w:rsidR="00F81C52">
          <w:rPr>
            <w:noProof/>
            <w:webHidden/>
          </w:rPr>
          <w:t>7</w:t>
        </w:r>
        <w:r w:rsidR="00F81C52">
          <w:rPr>
            <w:noProof/>
            <w:webHidden/>
          </w:rPr>
          <w:fldChar w:fldCharType="end"/>
        </w:r>
      </w:hyperlink>
    </w:p>
    <w:p w14:paraId="7AE78AE3" w14:textId="7EB3E7A6"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47" w:history="1">
        <w:r w:rsidR="00F81C52" w:rsidRPr="00E13174">
          <w:rPr>
            <w:rStyle w:val="Hyperlink"/>
            <w:noProof/>
          </w:rPr>
          <w:t>2.4.1</w:t>
        </w:r>
        <w:r w:rsidR="00F81C52">
          <w:rPr>
            <w:rFonts w:eastAsiaTheme="minorEastAsia" w:cstheme="minorBidi"/>
            <w:i w:val="0"/>
            <w:iCs w:val="0"/>
            <w:noProof/>
            <w:sz w:val="22"/>
            <w:szCs w:val="22"/>
            <w:lang w:val="en-NZ" w:eastAsia="en-NZ" w:bidi="ar-SA"/>
          </w:rPr>
          <w:tab/>
        </w:r>
        <w:r w:rsidR="00F81C52" w:rsidRPr="00E13174">
          <w:rPr>
            <w:rStyle w:val="Hyperlink"/>
            <w:noProof/>
          </w:rPr>
          <w:t>Section 29</w:t>
        </w:r>
        <w:r w:rsidR="00F81C52">
          <w:rPr>
            <w:noProof/>
            <w:webHidden/>
          </w:rPr>
          <w:tab/>
        </w:r>
        <w:r w:rsidR="00F81C52">
          <w:rPr>
            <w:noProof/>
            <w:webHidden/>
          </w:rPr>
          <w:fldChar w:fldCharType="begin"/>
        </w:r>
        <w:r w:rsidR="00F81C52">
          <w:rPr>
            <w:noProof/>
            <w:webHidden/>
          </w:rPr>
          <w:instrText xml:space="preserve"> PAGEREF _Toc506454347 \h </w:instrText>
        </w:r>
        <w:r w:rsidR="00F81C52">
          <w:rPr>
            <w:noProof/>
            <w:webHidden/>
          </w:rPr>
        </w:r>
        <w:r w:rsidR="00F81C52">
          <w:rPr>
            <w:noProof/>
            <w:webHidden/>
          </w:rPr>
          <w:fldChar w:fldCharType="separate"/>
        </w:r>
        <w:r w:rsidR="00F81C52">
          <w:rPr>
            <w:noProof/>
            <w:webHidden/>
          </w:rPr>
          <w:t>7</w:t>
        </w:r>
        <w:r w:rsidR="00F81C52">
          <w:rPr>
            <w:noProof/>
            <w:webHidden/>
          </w:rPr>
          <w:fldChar w:fldCharType="end"/>
        </w:r>
      </w:hyperlink>
    </w:p>
    <w:p w14:paraId="1FC828C4" w14:textId="543C4265"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48" w:history="1">
        <w:r w:rsidR="00F81C52" w:rsidRPr="00E13174">
          <w:rPr>
            <w:rStyle w:val="Hyperlink"/>
            <w:noProof/>
          </w:rPr>
          <w:t>2.4.1.1</w:t>
        </w:r>
        <w:r w:rsidR="00F81C52">
          <w:rPr>
            <w:rFonts w:eastAsiaTheme="minorEastAsia" w:cstheme="minorBidi"/>
            <w:i w:val="0"/>
            <w:iCs w:val="0"/>
            <w:noProof/>
            <w:sz w:val="22"/>
            <w:szCs w:val="22"/>
            <w:lang w:val="en-NZ" w:eastAsia="en-NZ" w:bidi="ar-SA"/>
          </w:rPr>
          <w:tab/>
        </w:r>
        <w:r w:rsidR="00F81C52" w:rsidRPr="00E13174">
          <w:rPr>
            <w:rStyle w:val="Hyperlink"/>
            <w:noProof/>
          </w:rPr>
          <w:t>Cost benefit analysis</w:t>
        </w:r>
        <w:r w:rsidR="00F81C52">
          <w:rPr>
            <w:noProof/>
            <w:webHidden/>
          </w:rPr>
          <w:tab/>
        </w:r>
        <w:r w:rsidR="00F81C52">
          <w:rPr>
            <w:noProof/>
            <w:webHidden/>
          </w:rPr>
          <w:fldChar w:fldCharType="begin"/>
        </w:r>
        <w:r w:rsidR="00F81C52">
          <w:rPr>
            <w:noProof/>
            <w:webHidden/>
          </w:rPr>
          <w:instrText xml:space="preserve"> PAGEREF _Toc506454348 \h </w:instrText>
        </w:r>
        <w:r w:rsidR="00F81C52">
          <w:rPr>
            <w:noProof/>
            <w:webHidden/>
          </w:rPr>
        </w:r>
        <w:r w:rsidR="00F81C52">
          <w:rPr>
            <w:noProof/>
            <w:webHidden/>
          </w:rPr>
          <w:fldChar w:fldCharType="separate"/>
        </w:r>
        <w:r w:rsidR="00F81C52">
          <w:rPr>
            <w:noProof/>
            <w:webHidden/>
          </w:rPr>
          <w:t>7</w:t>
        </w:r>
        <w:r w:rsidR="00F81C52">
          <w:rPr>
            <w:noProof/>
            <w:webHidden/>
          </w:rPr>
          <w:fldChar w:fldCharType="end"/>
        </w:r>
      </w:hyperlink>
    </w:p>
    <w:p w14:paraId="5CD0BC3F" w14:textId="18DB3055"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49" w:history="1">
        <w:r w:rsidR="00F81C52" w:rsidRPr="00E13174">
          <w:rPr>
            <w:rStyle w:val="Hyperlink"/>
            <w:noProof/>
          </w:rPr>
          <w:t>2.4.1.2</w:t>
        </w:r>
        <w:r w:rsidR="00F81C52">
          <w:rPr>
            <w:rFonts w:eastAsiaTheme="minorEastAsia" w:cstheme="minorBidi"/>
            <w:i w:val="0"/>
            <w:iCs w:val="0"/>
            <w:noProof/>
            <w:sz w:val="22"/>
            <w:szCs w:val="22"/>
            <w:lang w:val="en-NZ" w:eastAsia="en-NZ" w:bidi="ar-SA"/>
          </w:rPr>
          <w:tab/>
        </w:r>
        <w:r w:rsidR="00F81C52" w:rsidRPr="00E13174">
          <w:rPr>
            <w:rStyle w:val="Hyperlink"/>
            <w:noProof/>
          </w:rPr>
          <w:t>Other measures</w:t>
        </w:r>
        <w:r w:rsidR="00F81C52">
          <w:rPr>
            <w:noProof/>
            <w:webHidden/>
          </w:rPr>
          <w:tab/>
        </w:r>
        <w:r w:rsidR="00F81C52">
          <w:rPr>
            <w:noProof/>
            <w:webHidden/>
          </w:rPr>
          <w:fldChar w:fldCharType="begin"/>
        </w:r>
        <w:r w:rsidR="00F81C52">
          <w:rPr>
            <w:noProof/>
            <w:webHidden/>
          </w:rPr>
          <w:instrText xml:space="preserve"> PAGEREF _Toc506454349 \h </w:instrText>
        </w:r>
        <w:r w:rsidR="00F81C52">
          <w:rPr>
            <w:noProof/>
            <w:webHidden/>
          </w:rPr>
        </w:r>
        <w:r w:rsidR="00F81C52">
          <w:rPr>
            <w:noProof/>
            <w:webHidden/>
          </w:rPr>
          <w:fldChar w:fldCharType="separate"/>
        </w:r>
        <w:r w:rsidR="00F81C52">
          <w:rPr>
            <w:noProof/>
            <w:webHidden/>
          </w:rPr>
          <w:t>9</w:t>
        </w:r>
        <w:r w:rsidR="00F81C52">
          <w:rPr>
            <w:noProof/>
            <w:webHidden/>
          </w:rPr>
          <w:fldChar w:fldCharType="end"/>
        </w:r>
      </w:hyperlink>
    </w:p>
    <w:p w14:paraId="4ED29CF2" w14:textId="4AF8FE0E"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50" w:history="1">
        <w:r w:rsidR="00F81C52" w:rsidRPr="00E13174">
          <w:rPr>
            <w:rStyle w:val="Hyperlink"/>
            <w:noProof/>
          </w:rPr>
          <w:t>2.4.1.3</w:t>
        </w:r>
        <w:r w:rsidR="00F81C52">
          <w:rPr>
            <w:rFonts w:eastAsiaTheme="minorEastAsia" w:cstheme="minorBidi"/>
            <w:i w:val="0"/>
            <w:iCs w:val="0"/>
            <w:noProof/>
            <w:sz w:val="22"/>
            <w:szCs w:val="22"/>
            <w:lang w:val="en-NZ" w:eastAsia="en-NZ" w:bidi="ar-SA"/>
          </w:rPr>
          <w:tab/>
        </w:r>
        <w:r w:rsidR="00F81C52" w:rsidRPr="00E13174">
          <w:rPr>
            <w:rStyle w:val="Hyperlink"/>
            <w:noProof/>
          </w:rPr>
          <w:t>Any relevant New Zealand standards</w:t>
        </w:r>
        <w:r w:rsidR="00F81C52">
          <w:rPr>
            <w:noProof/>
            <w:webHidden/>
          </w:rPr>
          <w:tab/>
        </w:r>
        <w:r w:rsidR="00F81C52">
          <w:rPr>
            <w:noProof/>
            <w:webHidden/>
          </w:rPr>
          <w:fldChar w:fldCharType="begin"/>
        </w:r>
        <w:r w:rsidR="00F81C52">
          <w:rPr>
            <w:noProof/>
            <w:webHidden/>
          </w:rPr>
          <w:instrText xml:space="preserve"> PAGEREF _Toc506454350 \h </w:instrText>
        </w:r>
        <w:r w:rsidR="00F81C52">
          <w:rPr>
            <w:noProof/>
            <w:webHidden/>
          </w:rPr>
        </w:r>
        <w:r w:rsidR="00F81C52">
          <w:rPr>
            <w:noProof/>
            <w:webHidden/>
          </w:rPr>
          <w:fldChar w:fldCharType="separate"/>
        </w:r>
        <w:r w:rsidR="00F81C52">
          <w:rPr>
            <w:noProof/>
            <w:webHidden/>
          </w:rPr>
          <w:t>9</w:t>
        </w:r>
        <w:r w:rsidR="00F81C52">
          <w:rPr>
            <w:noProof/>
            <w:webHidden/>
          </w:rPr>
          <w:fldChar w:fldCharType="end"/>
        </w:r>
      </w:hyperlink>
    </w:p>
    <w:p w14:paraId="00DBC483" w14:textId="17C0F74F"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51" w:history="1">
        <w:r w:rsidR="00F81C52" w:rsidRPr="00E13174">
          <w:rPr>
            <w:rStyle w:val="Hyperlink"/>
            <w:noProof/>
          </w:rPr>
          <w:t>2.4.1.4</w:t>
        </w:r>
        <w:r w:rsidR="00F81C52">
          <w:rPr>
            <w:rFonts w:eastAsiaTheme="minorEastAsia" w:cstheme="minorBidi"/>
            <w:i w:val="0"/>
            <w:iCs w:val="0"/>
            <w:noProof/>
            <w:sz w:val="22"/>
            <w:szCs w:val="22"/>
            <w:lang w:val="en-NZ" w:eastAsia="en-NZ" w:bidi="ar-SA"/>
          </w:rPr>
          <w:tab/>
        </w:r>
        <w:r w:rsidR="00F81C52" w:rsidRPr="00E13174">
          <w:rPr>
            <w:rStyle w:val="Hyperlink"/>
            <w:noProof/>
          </w:rPr>
          <w:t>Any other relevant matters</w:t>
        </w:r>
        <w:r w:rsidR="00F81C52">
          <w:rPr>
            <w:noProof/>
            <w:webHidden/>
          </w:rPr>
          <w:tab/>
        </w:r>
        <w:r w:rsidR="00F81C52">
          <w:rPr>
            <w:noProof/>
            <w:webHidden/>
          </w:rPr>
          <w:fldChar w:fldCharType="begin"/>
        </w:r>
        <w:r w:rsidR="00F81C52">
          <w:rPr>
            <w:noProof/>
            <w:webHidden/>
          </w:rPr>
          <w:instrText xml:space="preserve"> PAGEREF _Toc506454351 \h </w:instrText>
        </w:r>
        <w:r w:rsidR="00F81C52">
          <w:rPr>
            <w:noProof/>
            <w:webHidden/>
          </w:rPr>
        </w:r>
        <w:r w:rsidR="00F81C52">
          <w:rPr>
            <w:noProof/>
            <w:webHidden/>
          </w:rPr>
          <w:fldChar w:fldCharType="separate"/>
        </w:r>
        <w:r w:rsidR="00F81C52">
          <w:rPr>
            <w:noProof/>
            <w:webHidden/>
          </w:rPr>
          <w:t>9</w:t>
        </w:r>
        <w:r w:rsidR="00F81C52">
          <w:rPr>
            <w:noProof/>
            <w:webHidden/>
          </w:rPr>
          <w:fldChar w:fldCharType="end"/>
        </w:r>
      </w:hyperlink>
    </w:p>
    <w:p w14:paraId="0A0E8BD7" w14:textId="5B45A7B4"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52" w:history="1">
        <w:r w:rsidR="00F81C52" w:rsidRPr="00E13174">
          <w:rPr>
            <w:rStyle w:val="Hyperlink"/>
            <w:noProof/>
          </w:rPr>
          <w:t>2.4.2.</w:t>
        </w:r>
        <w:r w:rsidR="00F81C52">
          <w:rPr>
            <w:rFonts w:eastAsiaTheme="minorEastAsia" w:cstheme="minorBidi"/>
            <w:i w:val="0"/>
            <w:iCs w:val="0"/>
            <w:noProof/>
            <w:sz w:val="22"/>
            <w:szCs w:val="22"/>
            <w:lang w:val="en-NZ" w:eastAsia="en-NZ" w:bidi="ar-SA"/>
          </w:rPr>
          <w:tab/>
        </w:r>
        <w:r w:rsidR="00F81C52" w:rsidRPr="00E13174">
          <w:rPr>
            <w:rStyle w:val="Hyperlink"/>
            <w:noProof/>
          </w:rPr>
          <w:t>Subsection 18(1)</w:t>
        </w:r>
        <w:r w:rsidR="00F81C52">
          <w:rPr>
            <w:noProof/>
            <w:webHidden/>
          </w:rPr>
          <w:tab/>
        </w:r>
        <w:r w:rsidR="00F81C52">
          <w:rPr>
            <w:noProof/>
            <w:webHidden/>
          </w:rPr>
          <w:fldChar w:fldCharType="begin"/>
        </w:r>
        <w:r w:rsidR="00F81C52">
          <w:rPr>
            <w:noProof/>
            <w:webHidden/>
          </w:rPr>
          <w:instrText xml:space="preserve"> PAGEREF _Toc506454352 \h </w:instrText>
        </w:r>
        <w:r w:rsidR="00F81C52">
          <w:rPr>
            <w:noProof/>
            <w:webHidden/>
          </w:rPr>
        </w:r>
        <w:r w:rsidR="00F81C52">
          <w:rPr>
            <w:noProof/>
            <w:webHidden/>
          </w:rPr>
          <w:fldChar w:fldCharType="separate"/>
        </w:r>
        <w:r w:rsidR="00F81C52">
          <w:rPr>
            <w:noProof/>
            <w:webHidden/>
          </w:rPr>
          <w:t>9</w:t>
        </w:r>
        <w:r w:rsidR="00F81C52">
          <w:rPr>
            <w:noProof/>
            <w:webHidden/>
          </w:rPr>
          <w:fldChar w:fldCharType="end"/>
        </w:r>
      </w:hyperlink>
    </w:p>
    <w:p w14:paraId="6B177E10" w14:textId="60D23B42"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53" w:history="1">
        <w:r w:rsidR="00F81C52" w:rsidRPr="00E13174">
          <w:rPr>
            <w:rStyle w:val="Hyperlink"/>
            <w:noProof/>
          </w:rPr>
          <w:t>2.4.2.1</w:t>
        </w:r>
        <w:r w:rsidR="00F81C52">
          <w:rPr>
            <w:rFonts w:eastAsiaTheme="minorEastAsia" w:cstheme="minorBidi"/>
            <w:i w:val="0"/>
            <w:iCs w:val="0"/>
            <w:noProof/>
            <w:sz w:val="22"/>
            <w:szCs w:val="22"/>
            <w:lang w:val="en-NZ" w:eastAsia="en-NZ" w:bidi="ar-SA"/>
          </w:rPr>
          <w:tab/>
        </w:r>
        <w:r w:rsidR="00F81C52" w:rsidRPr="00E13174">
          <w:rPr>
            <w:rStyle w:val="Hyperlink"/>
            <w:noProof/>
          </w:rPr>
          <w:t>Protection of public health and safety</w:t>
        </w:r>
        <w:r w:rsidR="00F81C52">
          <w:rPr>
            <w:noProof/>
            <w:webHidden/>
          </w:rPr>
          <w:tab/>
        </w:r>
        <w:r w:rsidR="00F81C52">
          <w:rPr>
            <w:noProof/>
            <w:webHidden/>
          </w:rPr>
          <w:fldChar w:fldCharType="begin"/>
        </w:r>
        <w:r w:rsidR="00F81C52">
          <w:rPr>
            <w:noProof/>
            <w:webHidden/>
          </w:rPr>
          <w:instrText xml:space="preserve"> PAGEREF _Toc506454353 \h </w:instrText>
        </w:r>
        <w:r w:rsidR="00F81C52">
          <w:rPr>
            <w:noProof/>
            <w:webHidden/>
          </w:rPr>
        </w:r>
        <w:r w:rsidR="00F81C52">
          <w:rPr>
            <w:noProof/>
            <w:webHidden/>
          </w:rPr>
          <w:fldChar w:fldCharType="separate"/>
        </w:r>
        <w:r w:rsidR="00F81C52">
          <w:rPr>
            <w:noProof/>
            <w:webHidden/>
          </w:rPr>
          <w:t>10</w:t>
        </w:r>
        <w:r w:rsidR="00F81C52">
          <w:rPr>
            <w:noProof/>
            <w:webHidden/>
          </w:rPr>
          <w:fldChar w:fldCharType="end"/>
        </w:r>
      </w:hyperlink>
    </w:p>
    <w:p w14:paraId="7F4C11AD" w14:textId="2A3D51C0"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54" w:history="1">
        <w:r w:rsidR="00F81C52" w:rsidRPr="00E13174">
          <w:rPr>
            <w:rStyle w:val="Hyperlink"/>
            <w:noProof/>
          </w:rPr>
          <w:t>2.4.2.2</w:t>
        </w:r>
        <w:r w:rsidR="00F81C52">
          <w:rPr>
            <w:rFonts w:eastAsiaTheme="minorEastAsia" w:cstheme="minorBidi"/>
            <w:i w:val="0"/>
            <w:iCs w:val="0"/>
            <w:noProof/>
            <w:sz w:val="22"/>
            <w:szCs w:val="22"/>
            <w:lang w:val="en-NZ" w:eastAsia="en-NZ" w:bidi="ar-SA"/>
          </w:rPr>
          <w:tab/>
        </w:r>
        <w:r w:rsidR="00F81C52" w:rsidRPr="00E13174">
          <w:rPr>
            <w:rStyle w:val="Hyperlink"/>
            <w:noProof/>
          </w:rPr>
          <w:t>The provision of adequate information relating to food to enable consumers to make informed choices</w:t>
        </w:r>
        <w:r w:rsidR="00F81C52">
          <w:rPr>
            <w:noProof/>
            <w:webHidden/>
          </w:rPr>
          <w:tab/>
        </w:r>
        <w:r w:rsidR="00F81C52">
          <w:rPr>
            <w:noProof/>
            <w:webHidden/>
          </w:rPr>
          <w:fldChar w:fldCharType="begin"/>
        </w:r>
        <w:r w:rsidR="00F81C52">
          <w:rPr>
            <w:noProof/>
            <w:webHidden/>
          </w:rPr>
          <w:instrText xml:space="preserve"> PAGEREF _Toc506454354 \h </w:instrText>
        </w:r>
        <w:r w:rsidR="00F81C52">
          <w:rPr>
            <w:noProof/>
            <w:webHidden/>
          </w:rPr>
        </w:r>
        <w:r w:rsidR="00F81C52">
          <w:rPr>
            <w:noProof/>
            <w:webHidden/>
          </w:rPr>
          <w:fldChar w:fldCharType="separate"/>
        </w:r>
        <w:r w:rsidR="00F81C52">
          <w:rPr>
            <w:noProof/>
            <w:webHidden/>
          </w:rPr>
          <w:t>10</w:t>
        </w:r>
        <w:r w:rsidR="00F81C52">
          <w:rPr>
            <w:noProof/>
            <w:webHidden/>
          </w:rPr>
          <w:fldChar w:fldCharType="end"/>
        </w:r>
      </w:hyperlink>
    </w:p>
    <w:p w14:paraId="244F049F" w14:textId="1EE170FC" w:rsidR="00F81C52" w:rsidRDefault="00C2298A">
      <w:pPr>
        <w:pStyle w:val="TOC3"/>
        <w:tabs>
          <w:tab w:val="left" w:pos="1320"/>
          <w:tab w:val="right" w:leader="dot" w:pos="9060"/>
        </w:tabs>
        <w:rPr>
          <w:rFonts w:eastAsiaTheme="minorEastAsia" w:cstheme="minorBidi"/>
          <w:i w:val="0"/>
          <w:iCs w:val="0"/>
          <w:noProof/>
          <w:sz w:val="22"/>
          <w:szCs w:val="22"/>
          <w:lang w:val="en-NZ" w:eastAsia="en-NZ" w:bidi="ar-SA"/>
        </w:rPr>
      </w:pPr>
      <w:hyperlink w:anchor="_Toc506454355" w:history="1">
        <w:r w:rsidR="00F81C52" w:rsidRPr="00E13174">
          <w:rPr>
            <w:rStyle w:val="Hyperlink"/>
            <w:noProof/>
          </w:rPr>
          <w:t>2.4.2.3</w:t>
        </w:r>
        <w:r w:rsidR="00F81C52">
          <w:rPr>
            <w:rFonts w:eastAsiaTheme="minorEastAsia" w:cstheme="minorBidi"/>
            <w:i w:val="0"/>
            <w:iCs w:val="0"/>
            <w:noProof/>
            <w:sz w:val="22"/>
            <w:szCs w:val="22"/>
            <w:lang w:val="en-NZ" w:eastAsia="en-NZ" w:bidi="ar-SA"/>
          </w:rPr>
          <w:tab/>
        </w:r>
        <w:r w:rsidR="00F81C52" w:rsidRPr="00E13174">
          <w:rPr>
            <w:rStyle w:val="Hyperlink"/>
            <w:noProof/>
          </w:rPr>
          <w:t>The prevention of misleading or deceptive conduct</w:t>
        </w:r>
        <w:r w:rsidR="00F81C52">
          <w:rPr>
            <w:noProof/>
            <w:webHidden/>
          </w:rPr>
          <w:tab/>
        </w:r>
        <w:r w:rsidR="00F81C52">
          <w:rPr>
            <w:noProof/>
            <w:webHidden/>
          </w:rPr>
          <w:fldChar w:fldCharType="begin"/>
        </w:r>
        <w:r w:rsidR="00F81C52">
          <w:rPr>
            <w:noProof/>
            <w:webHidden/>
          </w:rPr>
          <w:instrText xml:space="preserve"> PAGEREF _Toc506454355 \h </w:instrText>
        </w:r>
        <w:r w:rsidR="00F81C52">
          <w:rPr>
            <w:noProof/>
            <w:webHidden/>
          </w:rPr>
        </w:r>
        <w:r w:rsidR="00F81C52">
          <w:rPr>
            <w:noProof/>
            <w:webHidden/>
          </w:rPr>
          <w:fldChar w:fldCharType="separate"/>
        </w:r>
        <w:r w:rsidR="00F81C52">
          <w:rPr>
            <w:noProof/>
            <w:webHidden/>
          </w:rPr>
          <w:t>10</w:t>
        </w:r>
        <w:r w:rsidR="00F81C52">
          <w:rPr>
            <w:noProof/>
            <w:webHidden/>
          </w:rPr>
          <w:fldChar w:fldCharType="end"/>
        </w:r>
      </w:hyperlink>
    </w:p>
    <w:p w14:paraId="06711B76" w14:textId="4FEDE9D9" w:rsidR="00F81C52" w:rsidRDefault="00C2298A">
      <w:pPr>
        <w:pStyle w:val="TOC3"/>
        <w:tabs>
          <w:tab w:val="left" w:pos="1100"/>
          <w:tab w:val="right" w:leader="dot" w:pos="9060"/>
        </w:tabs>
        <w:rPr>
          <w:rFonts w:eastAsiaTheme="minorEastAsia" w:cstheme="minorBidi"/>
          <w:i w:val="0"/>
          <w:iCs w:val="0"/>
          <w:noProof/>
          <w:sz w:val="22"/>
          <w:szCs w:val="22"/>
          <w:lang w:val="en-NZ" w:eastAsia="en-NZ" w:bidi="ar-SA"/>
        </w:rPr>
      </w:pPr>
      <w:hyperlink w:anchor="_Toc506454356" w:history="1">
        <w:r w:rsidR="00F81C52" w:rsidRPr="00E13174">
          <w:rPr>
            <w:rStyle w:val="Hyperlink"/>
            <w:noProof/>
          </w:rPr>
          <w:t>2.4.3</w:t>
        </w:r>
        <w:r w:rsidR="00F81C52">
          <w:rPr>
            <w:rFonts w:eastAsiaTheme="minorEastAsia" w:cstheme="minorBidi"/>
            <w:i w:val="0"/>
            <w:iCs w:val="0"/>
            <w:noProof/>
            <w:sz w:val="22"/>
            <w:szCs w:val="22"/>
            <w:lang w:val="en-NZ" w:eastAsia="en-NZ" w:bidi="ar-SA"/>
          </w:rPr>
          <w:tab/>
        </w:r>
        <w:r w:rsidR="00F81C52" w:rsidRPr="00E13174">
          <w:rPr>
            <w:rStyle w:val="Hyperlink"/>
            <w:noProof/>
          </w:rPr>
          <w:t>Subsection 18(2) considerations</w:t>
        </w:r>
        <w:r w:rsidR="00F81C52">
          <w:rPr>
            <w:noProof/>
            <w:webHidden/>
          </w:rPr>
          <w:tab/>
        </w:r>
        <w:r w:rsidR="00F81C52">
          <w:rPr>
            <w:noProof/>
            <w:webHidden/>
          </w:rPr>
          <w:fldChar w:fldCharType="begin"/>
        </w:r>
        <w:r w:rsidR="00F81C52">
          <w:rPr>
            <w:noProof/>
            <w:webHidden/>
          </w:rPr>
          <w:instrText xml:space="preserve"> PAGEREF _Toc506454356 \h </w:instrText>
        </w:r>
        <w:r w:rsidR="00F81C52">
          <w:rPr>
            <w:noProof/>
            <w:webHidden/>
          </w:rPr>
        </w:r>
        <w:r w:rsidR="00F81C52">
          <w:rPr>
            <w:noProof/>
            <w:webHidden/>
          </w:rPr>
          <w:fldChar w:fldCharType="separate"/>
        </w:r>
        <w:r w:rsidR="00F81C52">
          <w:rPr>
            <w:noProof/>
            <w:webHidden/>
          </w:rPr>
          <w:t>10</w:t>
        </w:r>
        <w:r w:rsidR="00F81C52">
          <w:rPr>
            <w:noProof/>
            <w:webHidden/>
          </w:rPr>
          <w:fldChar w:fldCharType="end"/>
        </w:r>
      </w:hyperlink>
    </w:p>
    <w:p w14:paraId="3C372D39" w14:textId="5AF20C7E" w:rsidR="00F81C52" w:rsidRDefault="00C2298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454357" w:history="1">
        <w:r w:rsidR="00F81C52" w:rsidRPr="00E13174">
          <w:rPr>
            <w:rStyle w:val="Hyperlink"/>
            <w:noProof/>
          </w:rPr>
          <w:t>3</w:t>
        </w:r>
        <w:r w:rsidR="00F81C52">
          <w:rPr>
            <w:rFonts w:eastAsiaTheme="minorEastAsia" w:cstheme="minorBidi"/>
            <w:b w:val="0"/>
            <w:bCs w:val="0"/>
            <w:caps w:val="0"/>
            <w:noProof/>
            <w:sz w:val="22"/>
            <w:szCs w:val="22"/>
            <w:lang w:val="en-NZ" w:eastAsia="en-NZ" w:bidi="ar-SA"/>
          </w:rPr>
          <w:tab/>
        </w:r>
        <w:r w:rsidR="00F81C52" w:rsidRPr="00E13174">
          <w:rPr>
            <w:rStyle w:val="Hyperlink"/>
            <w:noProof/>
          </w:rPr>
          <w:t>Draft variation</w:t>
        </w:r>
        <w:r w:rsidR="00F81C52">
          <w:rPr>
            <w:noProof/>
            <w:webHidden/>
          </w:rPr>
          <w:tab/>
        </w:r>
        <w:r w:rsidR="00F81C52">
          <w:rPr>
            <w:noProof/>
            <w:webHidden/>
          </w:rPr>
          <w:fldChar w:fldCharType="begin"/>
        </w:r>
        <w:r w:rsidR="00F81C52">
          <w:rPr>
            <w:noProof/>
            <w:webHidden/>
          </w:rPr>
          <w:instrText xml:space="preserve"> PAGEREF _Toc506454357 \h </w:instrText>
        </w:r>
        <w:r w:rsidR="00F81C52">
          <w:rPr>
            <w:noProof/>
            <w:webHidden/>
          </w:rPr>
        </w:r>
        <w:r w:rsidR="00F81C52">
          <w:rPr>
            <w:noProof/>
            <w:webHidden/>
          </w:rPr>
          <w:fldChar w:fldCharType="separate"/>
        </w:r>
        <w:r w:rsidR="00F81C52">
          <w:rPr>
            <w:noProof/>
            <w:webHidden/>
          </w:rPr>
          <w:t>11</w:t>
        </w:r>
        <w:r w:rsidR="00F81C52">
          <w:rPr>
            <w:noProof/>
            <w:webHidden/>
          </w:rPr>
          <w:fldChar w:fldCharType="end"/>
        </w:r>
      </w:hyperlink>
    </w:p>
    <w:p w14:paraId="2BCEB5C1" w14:textId="5CE62295" w:rsidR="00F81C52" w:rsidRDefault="00C2298A">
      <w:pPr>
        <w:pStyle w:val="TOC2"/>
        <w:tabs>
          <w:tab w:val="right" w:leader="dot" w:pos="9060"/>
        </w:tabs>
        <w:rPr>
          <w:rFonts w:eastAsiaTheme="minorEastAsia" w:cstheme="minorBidi"/>
          <w:smallCaps w:val="0"/>
          <w:noProof/>
          <w:sz w:val="22"/>
          <w:szCs w:val="22"/>
          <w:lang w:val="en-NZ" w:eastAsia="en-NZ" w:bidi="ar-SA"/>
        </w:rPr>
      </w:pPr>
      <w:hyperlink w:anchor="_Toc506454358" w:history="1">
        <w:r w:rsidR="00F81C52" w:rsidRPr="00E13174">
          <w:rPr>
            <w:rStyle w:val="Hyperlink"/>
            <w:noProof/>
          </w:rPr>
          <w:t xml:space="preserve">Attachment A – Draft variation to the </w:t>
        </w:r>
        <w:r w:rsidR="00F81C52" w:rsidRPr="00E13174">
          <w:rPr>
            <w:rStyle w:val="Hyperlink"/>
            <w:i/>
            <w:noProof/>
          </w:rPr>
          <w:t>Australia New Zealand Food Standards Code</w:t>
        </w:r>
        <w:r w:rsidR="00F81C52">
          <w:rPr>
            <w:noProof/>
            <w:webHidden/>
          </w:rPr>
          <w:tab/>
        </w:r>
        <w:r w:rsidR="00F81C52">
          <w:rPr>
            <w:noProof/>
            <w:webHidden/>
          </w:rPr>
          <w:fldChar w:fldCharType="begin"/>
        </w:r>
        <w:r w:rsidR="00F81C52">
          <w:rPr>
            <w:noProof/>
            <w:webHidden/>
          </w:rPr>
          <w:instrText xml:space="preserve"> PAGEREF _Toc506454358 \h </w:instrText>
        </w:r>
        <w:r w:rsidR="00F81C52">
          <w:rPr>
            <w:noProof/>
            <w:webHidden/>
          </w:rPr>
        </w:r>
        <w:r w:rsidR="00F81C52">
          <w:rPr>
            <w:noProof/>
            <w:webHidden/>
          </w:rPr>
          <w:fldChar w:fldCharType="separate"/>
        </w:r>
        <w:r w:rsidR="00F81C52">
          <w:rPr>
            <w:noProof/>
            <w:webHidden/>
          </w:rPr>
          <w:t>12</w:t>
        </w:r>
        <w:r w:rsidR="00F81C52">
          <w:rPr>
            <w:noProof/>
            <w:webHidden/>
          </w:rPr>
          <w:fldChar w:fldCharType="end"/>
        </w:r>
      </w:hyperlink>
    </w:p>
    <w:p w14:paraId="341F82FB" w14:textId="66626B3B" w:rsidR="00F81C52" w:rsidRDefault="00C2298A">
      <w:pPr>
        <w:pStyle w:val="TOC2"/>
        <w:tabs>
          <w:tab w:val="right" w:leader="dot" w:pos="9060"/>
        </w:tabs>
        <w:rPr>
          <w:rFonts w:eastAsiaTheme="minorEastAsia" w:cstheme="minorBidi"/>
          <w:smallCaps w:val="0"/>
          <w:noProof/>
          <w:sz w:val="22"/>
          <w:szCs w:val="22"/>
          <w:lang w:val="en-NZ" w:eastAsia="en-NZ" w:bidi="ar-SA"/>
        </w:rPr>
      </w:pPr>
      <w:hyperlink w:anchor="_Toc506454359" w:history="1">
        <w:r w:rsidR="00F81C52" w:rsidRPr="00E13174">
          <w:rPr>
            <w:rStyle w:val="Hyperlink"/>
            <w:noProof/>
          </w:rPr>
          <w:t>Attachment B – Draft Explanatory Statement</w:t>
        </w:r>
        <w:r w:rsidR="00F81C52">
          <w:rPr>
            <w:noProof/>
            <w:webHidden/>
          </w:rPr>
          <w:tab/>
        </w:r>
        <w:r w:rsidR="00F81C52">
          <w:rPr>
            <w:noProof/>
            <w:webHidden/>
          </w:rPr>
          <w:fldChar w:fldCharType="begin"/>
        </w:r>
        <w:r w:rsidR="00F81C52">
          <w:rPr>
            <w:noProof/>
            <w:webHidden/>
          </w:rPr>
          <w:instrText xml:space="preserve"> PAGEREF _Toc506454359 \h </w:instrText>
        </w:r>
        <w:r w:rsidR="00F81C52">
          <w:rPr>
            <w:noProof/>
            <w:webHidden/>
          </w:rPr>
        </w:r>
        <w:r w:rsidR="00F81C52">
          <w:rPr>
            <w:noProof/>
            <w:webHidden/>
          </w:rPr>
          <w:fldChar w:fldCharType="separate"/>
        </w:r>
        <w:r w:rsidR="00F81C52">
          <w:rPr>
            <w:noProof/>
            <w:webHidden/>
          </w:rPr>
          <w:t>14</w:t>
        </w:r>
        <w:r w:rsidR="00F81C52">
          <w:rPr>
            <w:noProof/>
            <w:webHidden/>
          </w:rPr>
          <w:fldChar w:fldCharType="end"/>
        </w:r>
      </w:hyperlink>
    </w:p>
    <w:p w14:paraId="0225F255" w14:textId="77777777" w:rsidR="00051ED9" w:rsidRPr="00C504DE" w:rsidRDefault="00051ED9" w:rsidP="00051ED9">
      <w:pPr>
        <w:rPr>
          <w:rFonts w:cs="Arial"/>
          <w:szCs w:val="22"/>
        </w:rPr>
      </w:pPr>
      <w:r w:rsidRPr="000544D0">
        <w:rPr>
          <w:rFonts w:cs="Arial"/>
          <w:szCs w:val="22"/>
        </w:rPr>
        <w:fldChar w:fldCharType="end"/>
      </w:r>
    </w:p>
    <w:p w14:paraId="04CE588F" w14:textId="77777777" w:rsidR="00D73931" w:rsidRPr="00E36DFD" w:rsidRDefault="00D73931" w:rsidP="00051ED9">
      <w:pPr>
        <w:rPr>
          <w:szCs w:val="22"/>
        </w:rPr>
      </w:pPr>
    </w:p>
    <w:p w14:paraId="7B2829D5" w14:textId="66376C33" w:rsidR="0037520F" w:rsidRPr="00D005D0" w:rsidRDefault="0037520F" w:rsidP="0037520F">
      <w:pPr>
        <w:rPr>
          <w:b/>
          <w:szCs w:val="22"/>
        </w:rPr>
      </w:pPr>
      <w:r w:rsidRPr="00B20DD0">
        <w:rPr>
          <w:b/>
          <w:szCs w:val="22"/>
        </w:rPr>
        <w:t>Supporting document</w:t>
      </w:r>
    </w:p>
    <w:p w14:paraId="4ED9D6F2" w14:textId="77777777" w:rsidR="0037520F" w:rsidRPr="009D5C8F" w:rsidRDefault="0037520F" w:rsidP="0037520F">
      <w:pPr>
        <w:rPr>
          <w:szCs w:val="22"/>
        </w:rPr>
      </w:pPr>
    </w:p>
    <w:p w14:paraId="2E234373" w14:textId="65F083B0" w:rsidR="00BC25C9" w:rsidRPr="00C504DE" w:rsidRDefault="0037520F" w:rsidP="0037520F">
      <w:pPr>
        <w:rPr>
          <w:szCs w:val="22"/>
        </w:rPr>
      </w:pPr>
      <w:r w:rsidRPr="009D5C8F">
        <w:rPr>
          <w:szCs w:val="22"/>
        </w:rPr>
        <w:t xml:space="preserve">The following document </w:t>
      </w:r>
      <w:r w:rsidR="00681754" w:rsidRPr="006C32CD">
        <w:rPr>
          <w:szCs w:val="22"/>
        </w:rPr>
        <w:t xml:space="preserve">which informed the assessment of this </w:t>
      </w:r>
      <w:r w:rsidR="00BC25C9" w:rsidRPr="00FE40A3">
        <w:rPr>
          <w:szCs w:val="22"/>
        </w:rPr>
        <w:t>Application</w:t>
      </w:r>
      <w:r w:rsidRPr="000F6589">
        <w:rPr>
          <w:szCs w:val="22"/>
        </w:rPr>
        <w:t xml:space="preserve"> </w:t>
      </w:r>
      <w:r w:rsidR="00AA0BD7" w:rsidRPr="00A12269">
        <w:rPr>
          <w:szCs w:val="22"/>
        </w:rPr>
        <w:t xml:space="preserve">is </w:t>
      </w:r>
      <w:r w:rsidRPr="00C504DE">
        <w:rPr>
          <w:szCs w:val="22"/>
        </w:rPr>
        <w:t>available on the FSANZ website at</w:t>
      </w:r>
      <w:r w:rsidR="00BC25C9" w:rsidRPr="00C504DE">
        <w:rPr>
          <w:szCs w:val="22"/>
        </w:rPr>
        <w:t>:</w:t>
      </w:r>
      <w:r w:rsidR="00BC25C9" w:rsidRPr="00464625">
        <w:rPr>
          <w:szCs w:val="22"/>
        </w:rPr>
        <w:t xml:space="preserve"> </w:t>
      </w:r>
      <w:hyperlink r:id="rId23" w:history="1">
        <w:r w:rsidR="008426D6" w:rsidRPr="00B20DD0">
          <w:rPr>
            <w:rStyle w:val="Hyperlink"/>
            <w:szCs w:val="22"/>
          </w:rPr>
          <w:t>A1146</w:t>
        </w:r>
        <w:r w:rsidR="004F60EB" w:rsidRPr="00D005D0">
          <w:rPr>
            <w:rStyle w:val="Hyperlink"/>
            <w:szCs w:val="22"/>
          </w:rPr>
          <w:t xml:space="preserve"> </w:t>
        </w:r>
        <w:r w:rsidR="000015C3" w:rsidRPr="009D5C8F">
          <w:rPr>
            <w:rStyle w:val="Hyperlink"/>
            <w:szCs w:val="22"/>
          </w:rPr>
          <w:t>Thermolysin</w:t>
        </w:r>
        <w:r w:rsidR="000015C3" w:rsidRPr="006C32CD">
          <w:rPr>
            <w:rStyle w:val="Hyperlink"/>
            <w:szCs w:val="22"/>
          </w:rPr>
          <w:t xml:space="preserve"> </w:t>
        </w:r>
        <w:r w:rsidR="004F60EB" w:rsidRPr="00FE40A3">
          <w:rPr>
            <w:rStyle w:val="Hyperlink"/>
            <w:szCs w:val="22"/>
          </w:rPr>
          <w:t xml:space="preserve">as a Processing Aid. </w:t>
        </w:r>
      </w:hyperlink>
    </w:p>
    <w:p w14:paraId="4A3DA270" w14:textId="77777777" w:rsidR="00BC25C9" w:rsidRPr="00E36DFD" w:rsidRDefault="00BC25C9" w:rsidP="0037520F">
      <w:pPr>
        <w:rPr>
          <w:szCs w:val="22"/>
        </w:rPr>
      </w:pPr>
    </w:p>
    <w:p w14:paraId="3821C206" w14:textId="027719BE" w:rsidR="00BC25C9" w:rsidRPr="009D5C8F" w:rsidRDefault="0089264A" w:rsidP="00BC25C9">
      <w:pPr>
        <w:pStyle w:val="FSTitle"/>
        <w:rPr>
          <w:sz w:val="22"/>
          <w:szCs w:val="22"/>
        </w:rPr>
      </w:pPr>
      <w:r w:rsidRPr="00B20DD0">
        <w:rPr>
          <w:sz w:val="22"/>
          <w:szCs w:val="22"/>
        </w:rPr>
        <w:t>SD1</w:t>
      </w:r>
      <w:r w:rsidRPr="00B20DD0">
        <w:rPr>
          <w:sz w:val="22"/>
          <w:szCs w:val="22"/>
        </w:rPr>
        <w:tab/>
      </w:r>
      <w:r w:rsidR="00BC25C9" w:rsidRPr="00D005D0">
        <w:rPr>
          <w:sz w:val="22"/>
          <w:szCs w:val="22"/>
        </w:rPr>
        <w:t xml:space="preserve">Risk and technical assessment report </w:t>
      </w:r>
    </w:p>
    <w:p w14:paraId="0DA65EE2" w14:textId="1B57125C" w:rsidR="0089264A" w:rsidRPr="009D5C8F" w:rsidRDefault="0089264A" w:rsidP="003A7725">
      <w:pPr>
        <w:ind w:left="1134" w:hanging="1134"/>
        <w:rPr>
          <w:szCs w:val="22"/>
        </w:rPr>
      </w:pPr>
    </w:p>
    <w:p w14:paraId="4292B135" w14:textId="77777777" w:rsidR="00051ED9" w:rsidRPr="00FE40A3" w:rsidRDefault="00562917" w:rsidP="00772BDC">
      <w:pPr>
        <w:rPr>
          <w:szCs w:val="22"/>
        </w:rPr>
      </w:pPr>
      <w:r w:rsidRPr="006C32CD">
        <w:rPr>
          <w:szCs w:val="22"/>
        </w:rPr>
        <w:br w:type="page"/>
      </w:r>
    </w:p>
    <w:p w14:paraId="10A5256F" w14:textId="77777777" w:rsidR="00E063C6" w:rsidRDefault="00F33BB8" w:rsidP="000A5DF8">
      <w:pPr>
        <w:pStyle w:val="Heading1"/>
      </w:pPr>
      <w:bookmarkStart w:id="1" w:name="_Toc286391001"/>
      <w:bookmarkStart w:id="2" w:name="_Toc300933414"/>
      <w:bookmarkStart w:id="3" w:name="_Toc50645432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780DB23" w14:textId="55AA8A5D" w:rsidR="00D52F69" w:rsidRDefault="00D52F69" w:rsidP="00D52F69">
      <w:bookmarkStart w:id="9" w:name="_Toc286391003"/>
      <w:r>
        <w:t xml:space="preserve">Amano Enzyme Inc. (Amano), has applied to </w:t>
      </w:r>
      <w:r w:rsidRPr="00AE52E1">
        <w:t xml:space="preserve">amend Schedule 18 of the </w:t>
      </w:r>
      <w:r>
        <w:t xml:space="preserve">Australia New Zealand </w:t>
      </w:r>
      <w:r w:rsidRPr="00AE52E1">
        <w:t xml:space="preserve">Food Standards Code </w:t>
      </w:r>
      <w:r>
        <w:t xml:space="preserve">(the Code) </w:t>
      </w:r>
      <w:r w:rsidRPr="00AE52E1">
        <w:t xml:space="preserve">to permit the use of </w:t>
      </w:r>
      <w:r>
        <w:t>a new enzyme, thermolysin</w:t>
      </w:r>
      <w:r w:rsidR="00AB27F4">
        <w:t xml:space="preserve"> (EC 3.4.24.27)</w:t>
      </w:r>
      <w:r>
        <w:t xml:space="preserve">, sourced </w:t>
      </w:r>
      <w:r w:rsidRPr="00AE52E1">
        <w:t xml:space="preserve">from </w:t>
      </w:r>
      <w:r>
        <w:rPr>
          <w:i/>
        </w:rPr>
        <w:t>Anoxybacillus caldiproteolyticus</w:t>
      </w:r>
      <w:r w:rsidR="00B11F11">
        <w:t xml:space="preserve"> </w:t>
      </w:r>
      <w:r w:rsidRPr="005D0A2F">
        <w:t>as a processing aid</w:t>
      </w:r>
      <w:r>
        <w:t xml:space="preserve">. </w:t>
      </w:r>
    </w:p>
    <w:p w14:paraId="7563945F" w14:textId="77777777" w:rsidR="00D52F69" w:rsidRDefault="00D52F69" w:rsidP="00D52F69"/>
    <w:p w14:paraId="083FE55E" w14:textId="32768F46" w:rsidR="00D52F69" w:rsidRPr="00D75584" w:rsidRDefault="00D52F69" w:rsidP="00C72C49">
      <w:pPr>
        <w:rPr>
          <w:i/>
        </w:rPr>
      </w:pPr>
      <w:r>
        <w:t>The enzyme will be used to manufacture or process foods including d</w:t>
      </w:r>
      <w:r w:rsidRPr="00AE52E1">
        <w:t>airy, egg</w:t>
      </w:r>
      <w:r>
        <w:t>,</w:t>
      </w:r>
      <w:r w:rsidRPr="00AE52E1">
        <w:t xml:space="preserve"> meat</w:t>
      </w:r>
      <w:r>
        <w:t>,</w:t>
      </w:r>
      <w:r w:rsidRPr="00AE52E1">
        <w:t xml:space="preserve"> fish</w:t>
      </w:r>
      <w:r>
        <w:t xml:space="preserve">, </w:t>
      </w:r>
      <w:r w:rsidRPr="00AE52E1">
        <w:t>yeast, protei</w:t>
      </w:r>
      <w:r>
        <w:t>n products</w:t>
      </w:r>
      <w:r w:rsidRPr="00AE52E1">
        <w:t xml:space="preserve"> and flavo</w:t>
      </w:r>
      <w:r>
        <w:t>u</w:t>
      </w:r>
      <w:r w:rsidRPr="00AE52E1">
        <w:t>ring</w:t>
      </w:r>
      <w:r>
        <w:t>s</w:t>
      </w:r>
      <w:r w:rsidRPr="00AE52E1">
        <w:t>.</w:t>
      </w:r>
      <w:r>
        <w:t xml:space="preserve"> </w:t>
      </w:r>
      <w:r>
        <w:rPr>
          <w:szCs w:val="22"/>
        </w:rPr>
        <w:t xml:space="preserve">Thermolysin converts proteins and peptides in various foods, resulting in the improvement of physiological properties (foaming ability, emulsifying ability, heat stability, </w:t>
      </w:r>
      <w:r w:rsidRPr="002E7927">
        <w:rPr>
          <w:szCs w:val="22"/>
        </w:rPr>
        <w:t>viscosity)</w:t>
      </w:r>
      <w:r w:rsidR="00C72C49" w:rsidRPr="00C72C49">
        <w:rPr>
          <w:szCs w:val="22"/>
        </w:rPr>
        <w:t xml:space="preserve"> </w:t>
      </w:r>
      <w:r w:rsidR="00C72C49">
        <w:rPr>
          <w:szCs w:val="22"/>
        </w:rPr>
        <w:t>and organoleptic properties (taste and flavour).</w:t>
      </w:r>
    </w:p>
    <w:p w14:paraId="164F0D82" w14:textId="77777777" w:rsidR="00D52F69" w:rsidRDefault="00D52F69" w:rsidP="00D52F69">
      <w:pPr>
        <w:rPr>
          <w:i/>
        </w:rPr>
      </w:pPr>
    </w:p>
    <w:p w14:paraId="5FC0129E" w14:textId="6C4CAB9D" w:rsidR="006B2BF4" w:rsidRDefault="00D14388" w:rsidP="00D52F69">
      <w:r w:rsidRPr="00D14388">
        <w:t>Based on toxicological data, FSANZ has concluded that in the absence of any identifiable hazard, an Acceptable Daily Intake (ADI) ‘not specified’ is appropriate</w:t>
      </w:r>
      <w:r>
        <w:t>.</w:t>
      </w:r>
      <w:r w:rsidRPr="00D14388">
        <w:t xml:space="preserve"> </w:t>
      </w:r>
      <w:r>
        <w:t>T</w:t>
      </w:r>
      <w:r w:rsidRPr="00D14388">
        <w:t xml:space="preserve">herefore </w:t>
      </w:r>
      <w:r>
        <w:t xml:space="preserve">there is no </w:t>
      </w:r>
      <w:r w:rsidRPr="00D14388">
        <w:t>need for a dietary exposure assessment.</w:t>
      </w:r>
      <w:r>
        <w:t xml:space="preserve"> </w:t>
      </w:r>
    </w:p>
    <w:p w14:paraId="14A5E24E" w14:textId="77777777" w:rsidR="00A66856" w:rsidRDefault="00A66856" w:rsidP="00D52F69"/>
    <w:p w14:paraId="15EC7C1B" w14:textId="128B8336" w:rsidR="006B2BF4" w:rsidRPr="003B526F" w:rsidRDefault="00A66856" w:rsidP="00A66856">
      <w:r w:rsidRPr="00A66856">
        <w:t>Tuna protein from the culture medium may be present in thermolysin-treated foods at low levels. There is no established threshold for allergenic responses to fish proteins such that exposure to even low amounts of tuna protein is potentially hazardous to individuals with an allergy to that food.</w:t>
      </w:r>
      <w:r>
        <w:t xml:space="preserve"> </w:t>
      </w:r>
      <w:r w:rsidR="00D14388">
        <w:t xml:space="preserve">Risk management measures are indicated for the protection of individuals with allergy to that food. </w:t>
      </w:r>
      <w:r w:rsidR="006B2BF4">
        <w:t>I</w:t>
      </w:r>
      <w:r w:rsidR="006B2BF4" w:rsidRPr="003B526F">
        <w:t>f fish is present in a food for sale, including when present as a processing aid or an ingredient or component of a processing aid, it is required to be declared under section 1.2.3—4 of Standard 1.2.3.</w:t>
      </w:r>
    </w:p>
    <w:p w14:paraId="538FB0F2" w14:textId="56CBEC88" w:rsidR="00D52F69" w:rsidRPr="00E36DFD" w:rsidRDefault="00D52F69" w:rsidP="00D52F69"/>
    <w:p w14:paraId="4A8413E6" w14:textId="19451A1E" w:rsidR="00D52F69" w:rsidRDefault="00D52F69" w:rsidP="00D52F69">
      <w:pPr>
        <w:rPr>
          <w:lang w:bidi="ar-SA"/>
        </w:rPr>
      </w:pPr>
      <w:r w:rsidRPr="00CB5107">
        <w:rPr>
          <w:lang w:bidi="ar-SA"/>
        </w:rPr>
        <w:t xml:space="preserve">FSANZ </w:t>
      </w:r>
      <w:r>
        <w:rPr>
          <w:lang w:bidi="ar-SA"/>
        </w:rPr>
        <w:t>is satisfied</w:t>
      </w:r>
      <w:r w:rsidRPr="00CB5107">
        <w:rPr>
          <w:lang w:bidi="ar-SA"/>
        </w:rPr>
        <w:t xml:space="preserve"> that </w:t>
      </w:r>
      <w:r>
        <w:rPr>
          <w:lang w:bidi="ar-SA"/>
        </w:rPr>
        <w:t xml:space="preserve">using thermolysin as a processing aid in the way specified in the Application </w:t>
      </w:r>
      <w:r w:rsidRPr="00CB5107">
        <w:rPr>
          <w:lang w:bidi="ar-SA"/>
        </w:rPr>
        <w:t>is technologically justified</w:t>
      </w:r>
      <w:r>
        <w:rPr>
          <w:lang w:bidi="ar-SA"/>
        </w:rPr>
        <w:t xml:space="preserve">. </w:t>
      </w:r>
      <w:r w:rsidRPr="00CB5107">
        <w:rPr>
          <w:lang w:bidi="ar-SA"/>
        </w:rPr>
        <w:t>FSANZ also conclude</w:t>
      </w:r>
      <w:r>
        <w:rPr>
          <w:lang w:bidi="ar-SA"/>
        </w:rPr>
        <w:t>s</w:t>
      </w:r>
      <w:r w:rsidRPr="00CB5107">
        <w:rPr>
          <w:lang w:bidi="ar-SA"/>
        </w:rPr>
        <w:t xml:space="preserve"> that, as </w:t>
      </w:r>
      <w:r>
        <w:rPr>
          <w:lang w:bidi="ar-SA"/>
        </w:rPr>
        <w:t>thermolysin</w:t>
      </w:r>
      <w:r w:rsidRPr="00CB5107">
        <w:rPr>
          <w:lang w:bidi="ar-SA"/>
        </w:rPr>
        <w:t xml:space="preserve"> performs its technological purpose during </w:t>
      </w:r>
      <w:r>
        <w:rPr>
          <w:lang w:bidi="ar-SA"/>
        </w:rPr>
        <w:t xml:space="preserve">the </w:t>
      </w:r>
      <w:r w:rsidRPr="0050659A">
        <w:rPr>
          <w:lang w:bidi="ar-SA"/>
        </w:rPr>
        <w:t xml:space="preserve">manufacture and/or processing </w:t>
      </w:r>
      <w:r w:rsidRPr="00CB5107">
        <w:rPr>
          <w:lang w:bidi="ar-SA"/>
        </w:rPr>
        <w:t xml:space="preserve">of food only, </w:t>
      </w:r>
      <w:r>
        <w:rPr>
          <w:lang w:bidi="ar-SA"/>
        </w:rPr>
        <w:t xml:space="preserve">it </w:t>
      </w:r>
      <w:r w:rsidRPr="00CB5107">
        <w:rPr>
          <w:lang w:bidi="ar-SA"/>
        </w:rPr>
        <w:t>is appropriately categorised as a processing aid rather than a food additive</w:t>
      </w:r>
      <w:r w:rsidR="00245507">
        <w:rPr>
          <w:lang w:bidi="ar-SA"/>
        </w:rPr>
        <w:t>.</w:t>
      </w:r>
    </w:p>
    <w:p w14:paraId="47FC2C2E" w14:textId="0E118A31" w:rsidR="00D52F69" w:rsidRDefault="00D52F69" w:rsidP="00D52F69">
      <w:pPr>
        <w:rPr>
          <w:lang w:bidi="ar-SA"/>
        </w:rPr>
      </w:pPr>
    </w:p>
    <w:p w14:paraId="12E13059" w14:textId="67F12EC4" w:rsidR="00111463" w:rsidRDefault="00D52F69" w:rsidP="005458DF">
      <w:r>
        <w:rPr>
          <w:lang w:bidi="ar-SA"/>
        </w:rPr>
        <w:t>Thermolysin</w:t>
      </w:r>
      <w:r w:rsidRPr="00CB5107">
        <w:rPr>
          <w:lang w:bidi="ar-SA"/>
        </w:rPr>
        <w:t xml:space="preserve"> </w:t>
      </w:r>
      <w:r>
        <w:rPr>
          <w:lang w:bidi="ar-SA"/>
        </w:rPr>
        <w:t xml:space="preserve">also </w:t>
      </w:r>
      <w:r w:rsidRPr="00CB5107">
        <w:rPr>
          <w:lang w:bidi="ar-SA"/>
        </w:rPr>
        <w:t>complies with the internationally accepted Joint Expert Committee on Food Additives (JECFA) specifications for chemical and microbiological purity</w:t>
      </w:r>
      <w:r>
        <w:rPr>
          <w:lang w:bidi="ar-SA"/>
        </w:rPr>
        <w:t>.</w:t>
      </w:r>
      <w:r w:rsidR="001A3B31">
        <w:t xml:space="preserve"> </w:t>
      </w:r>
      <w:r w:rsidR="00111463">
        <w:t xml:space="preserve">Enzymes used to produce and manufacture food are considered processing aids. Permitted processing aids are listed in </w:t>
      </w:r>
      <w:r w:rsidR="004D162D" w:rsidRPr="00E04B34">
        <w:t xml:space="preserve">Standard 1.3.3 </w:t>
      </w:r>
      <w:r w:rsidR="004D162D" w:rsidRPr="008E0BC2">
        <w:t xml:space="preserve">and </w:t>
      </w:r>
      <w:r w:rsidR="00111463">
        <w:t xml:space="preserve">Schedule 18 of the Code. </w:t>
      </w:r>
    </w:p>
    <w:p w14:paraId="32692365" w14:textId="0B49A59A" w:rsidR="003B526F" w:rsidRDefault="003B526F" w:rsidP="005458DF"/>
    <w:p w14:paraId="1EF9D49E" w14:textId="64819619" w:rsidR="00111463" w:rsidRDefault="00111463" w:rsidP="00111463">
      <w:r>
        <w:t xml:space="preserve">FSANZ has therefore prepared a draft variation to the table to subsection S18—9(3) in Schedule 18 of the Code to permit the use of </w:t>
      </w:r>
      <w:r>
        <w:rPr>
          <w:lang w:bidi="ar-SA"/>
        </w:rPr>
        <w:t>thermolysin</w:t>
      </w:r>
      <w:r>
        <w:t xml:space="preserve"> as a processing aid (enzyme) for a specific technological purpose in certain foods, at </w:t>
      </w:r>
      <w:r w:rsidR="005F3638">
        <w:t xml:space="preserve">maximum permitted level in accordance with </w:t>
      </w:r>
      <w:r w:rsidR="00434F85">
        <w:t>GMP</w:t>
      </w:r>
      <w:r w:rsidR="002E0FB1">
        <w:t>.</w:t>
      </w:r>
    </w:p>
    <w:p w14:paraId="691BD041" w14:textId="35DAA49C" w:rsidR="0053464E" w:rsidRDefault="0053464E" w:rsidP="005458DF">
      <w:r>
        <w:br w:type="page"/>
      </w:r>
    </w:p>
    <w:p w14:paraId="6B113829" w14:textId="77777777" w:rsidR="002A5F8B" w:rsidRPr="000B6AF2" w:rsidRDefault="00F33BB8" w:rsidP="000B6AF2">
      <w:pPr>
        <w:pStyle w:val="Heading1"/>
      </w:pPr>
      <w:bookmarkStart w:id="10" w:name="_Toc300933417"/>
      <w:bookmarkStart w:id="11" w:name="_Toc506454330"/>
      <w:r>
        <w:lastRenderedPageBreak/>
        <w:t>1</w:t>
      </w:r>
      <w:r w:rsidR="001542D8">
        <w:tab/>
      </w:r>
      <w:r w:rsidR="002A5F8B" w:rsidRPr="000B6AF2">
        <w:t>Introduction</w:t>
      </w:r>
      <w:bookmarkEnd w:id="9"/>
      <w:bookmarkEnd w:id="10"/>
      <w:bookmarkEnd w:id="11"/>
    </w:p>
    <w:p w14:paraId="0EA461FA" w14:textId="6E4C2718" w:rsidR="0053464E" w:rsidRDefault="00F33BB8" w:rsidP="00A56E34">
      <w:pPr>
        <w:pStyle w:val="Heading2"/>
      </w:pPr>
      <w:bookmarkStart w:id="12" w:name="_Toc300761890"/>
      <w:bookmarkStart w:id="13" w:name="_Toc506454331"/>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6582D9E7" w14:textId="77777777" w:rsidR="00595EFA" w:rsidRPr="00C26D76" w:rsidRDefault="00595EFA" w:rsidP="00595EFA">
      <w:r>
        <w:t xml:space="preserve">The Applicant is </w:t>
      </w:r>
      <w:r w:rsidRPr="00C26D76">
        <w:t>Amano Enzyme Inc</w:t>
      </w:r>
      <w:r>
        <w:t xml:space="preserve">. (Amano), a company that </w:t>
      </w:r>
      <w:r w:rsidRPr="00C26D76">
        <w:t>produce</w:t>
      </w:r>
      <w:r>
        <w:t>s</w:t>
      </w:r>
      <w:r w:rsidRPr="00C26D76">
        <w:t xml:space="preserve"> specialty enzymes for the food industry</w:t>
      </w:r>
      <w:r>
        <w:t>,</w:t>
      </w:r>
      <w:r w:rsidRPr="00C26D76">
        <w:t xml:space="preserve"> pharma</w:t>
      </w:r>
      <w:r>
        <w:t>ceuticals</w:t>
      </w:r>
      <w:r w:rsidRPr="00C26D76">
        <w:t xml:space="preserve"> and </w:t>
      </w:r>
      <w:r>
        <w:t>diagnostic medicines</w:t>
      </w:r>
      <w:r w:rsidRPr="00C26D76">
        <w:t>.</w:t>
      </w:r>
    </w:p>
    <w:p w14:paraId="286E5DF5" w14:textId="6325FF4D" w:rsidR="0053464E" w:rsidRPr="00BC25C9" w:rsidRDefault="00F33BB8" w:rsidP="00A56E34">
      <w:pPr>
        <w:pStyle w:val="Heading2"/>
      </w:pPr>
      <w:bookmarkStart w:id="15" w:name="_Toc300761891"/>
      <w:bookmarkStart w:id="16" w:name="_Toc300933420"/>
      <w:bookmarkStart w:id="17" w:name="_Toc506454332"/>
      <w:r>
        <w:t>1</w:t>
      </w:r>
      <w:r w:rsidR="0053464E" w:rsidRPr="0053464E">
        <w:t>.2</w:t>
      </w:r>
      <w:r w:rsidR="0053464E" w:rsidRPr="0053464E">
        <w:tab/>
      </w:r>
      <w:r w:rsidR="0053464E" w:rsidRPr="00BC25C9">
        <w:t>The Application</w:t>
      </w:r>
      <w:bookmarkEnd w:id="15"/>
      <w:bookmarkEnd w:id="16"/>
      <w:bookmarkEnd w:id="17"/>
    </w:p>
    <w:p w14:paraId="2E763EF6" w14:textId="4DEE2960" w:rsidR="00AC7D3B" w:rsidRDefault="004F60EB" w:rsidP="00AC7D3B">
      <w:pPr>
        <w:rPr>
          <w:i/>
        </w:rPr>
      </w:pPr>
      <w:bookmarkStart w:id="18" w:name="_Toc300761892"/>
      <w:bookmarkStart w:id="19" w:name="_Toc300933421"/>
      <w:r>
        <w:t>T</w:t>
      </w:r>
      <w:r w:rsidRPr="00AE52E1">
        <w:t xml:space="preserve">he </w:t>
      </w:r>
      <w:r w:rsidR="009B6C39">
        <w:t>A</w:t>
      </w:r>
      <w:r w:rsidR="009B6C39" w:rsidRPr="00AE52E1">
        <w:t>pplica</w:t>
      </w:r>
      <w:r w:rsidR="004D162D">
        <w:t>nt</w:t>
      </w:r>
      <w:r w:rsidR="009B6C39" w:rsidRPr="00AE52E1">
        <w:t xml:space="preserve"> </w:t>
      </w:r>
      <w:r>
        <w:t xml:space="preserve">seeks </w:t>
      </w:r>
      <w:r w:rsidR="005C3CB4">
        <w:t xml:space="preserve">an </w:t>
      </w:r>
      <w:r w:rsidRPr="00AE52E1">
        <w:t>amend</w:t>
      </w:r>
      <w:r w:rsidR="005C3CB4">
        <w:t>ment</w:t>
      </w:r>
      <w:r w:rsidRPr="00AE52E1">
        <w:t xml:space="preserve"> Schedule 18 of the </w:t>
      </w:r>
      <w:r>
        <w:t xml:space="preserve">Australia New Zealand </w:t>
      </w:r>
      <w:r w:rsidRPr="00AE52E1">
        <w:t xml:space="preserve">Food Standards Code </w:t>
      </w:r>
      <w:r>
        <w:t xml:space="preserve">(the Code) </w:t>
      </w:r>
      <w:r w:rsidRPr="00AE52E1">
        <w:t xml:space="preserve">to permit the use of </w:t>
      </w:r>
      <w:r>
        <w:t xml:space="preserve">a new enzyme, </w:t>
      </w:r>
      <w:r w:rsidR="005D0A2F">
        <w:t>t</w:t>
      </w:r>
      <w:r>
        <w:t>hermolysin</w:t>
      </w:r>
      <w:r w:rsidR="00F114B5">
        <w:t xml:space="preserve"> (protease</w:t>
      </w:r>
      <w:r w:rsidR="00245507">
        <w:t xml:space="preserve"> - EC 3.4.24.27)</w:t>
      </w:r>
      <w:r>
        <w:t xml:space="preserve"> </w:t>
      </w:r>
      <w:r w:rsidR="005D0A2F">
        <w:t xml:space="preserve">sourced </w:t>
      </w:r>
      <w:r w:rsidRPr="00AE52E1">
        <w:t xml:space="preserve">from </w:t>
      </w:r>
      <w:r w:rsidR="00D005D0" w:rsidRPr="00CF165F">
        <w:rPr>
          <w:i/>
          <w:iCs/>
          <w:lang w:val="en-AU" w:bidi="ar-SA"/>
        </w:rPr>
        <w:t>Anoxybacillus caldiproteolyticus</w:t>
      </w:r>
      <w:r w:rsidR="00D005D0" w:rsidRPr="00D005D0">
        <w:rPr>
          <w:lang w:bidi="ar-SA"/>
        </w:rPr>
        <w:t xml:space="preserve"> </w:t>
      </w:r>
      <w:r w:rsidR="00CC36EE">
        <w:rPr>
          <w:lang w:bidi="ar-SA"/>
        </w:rPr>
        <w:t>(</w:t>
      </w:r>
      <w:r w:rsidR="00CC36EE">
        <w:rPr>
          <w:i/>
        </w:rPr>
        <w:t>A. caldiproteolyticus</w:t>
      </w:r>
      <w:r w:rsidR="00CC36EE">
        <w:t>)</w:t>
      </w:r>
      <w:r w:rsidR="00CE40AE">
        <w:t xml:space="preserve"> </w:t>
      </w:r>
      <w:r w:rsidR="008A2834">
        <w:t>as a processing aid</w:t>
      </w:r>
      <w:r>
        <w:t xml:space="preserve">. </w:t>
      </w:r>
      <w:r w:rsidR="00037622">
        <w:t>The processing aid is</w:t>
      </w:r>
      <w:r w:rsidR="00AE52E1" w:rsidRPr="00AE52E1">
        <w:t xml:space="preserve"> intended for use </w:t>
      </w:r>
      <w:r w:rsidR="00C44CE6">
        <w:t xml:space="preserve">in </w:t>
      </w:r>
      <w:r w:rsidR="00016E11" w:rsidRPr="00016E11">
        <w:t xml:space="preserve">the </w:t>
      </w:r>
      <w:r w:rsidR="0050659A" w:rsidRPr="0050659A">
        <w:t>manufacture and/or processing</w:t>
      </w:r>
      <w:r w:rsidR="00016E11" w:rsidRPr="00016E11">
        <w:t xml:space="preserve"> of dairy, egg, meat, fish, yeast, protein products and </w:t>
      </w:r>
      <w:r w:rsidR="0050659A">
        <w:t xml:space="preserve">in </w:t>
      </w:r>
      <w:r w:rsidR="00A92834">
        <w:t xml:space="preserve">the </w:t>
      </w:r>
      <w:r w:rsidR="00016E11" w:rsidRPr="00016E11">
        <w:t>flavouring production</w:t>
      </w:r>
      <w:r w:rsidR="00A92834">
        <w:t xml:space="preserve"> industry</w:t>
      </w:r>
      <w:r w:rsidR="00016E11" w:rsidRPr="00016E11">
        <w:t>.</w:t>
      </w:r>
      <w:r w:rsidR="005D0A2F">
        <w:t xml:space="preserve"> </w:t>
      </w:r>
    </w:p>
    <w:p w14:paraId="0557537F" w14:textId="77777777" w:rsidR="00AF72D4" w:rsidRDefault="00AF72D4" w:rsidP="00AF72D4">
      <w:pPr>
        <w:pStyle w:val="Default"/>
        <w:rPr>
          <w:sz w:val="22"/>
          <w:szCs w:val="22"/>
        </w:rPr>
      </w:pPr>
    </w:p>
    <w:p w14:paraId="65679777" w14:textId="73B353E8" w:rsidR="00097821" w:rsidRPr="00D75584" w:rsidRDefault="0050659A" w:rsidP="00AC7D3B">
      <w:pPr>
        <w:rPr>
          <w:i/>
        </w:rPr>
      </w:pPr>
      <w:r>
        <w:rPr>
          <w:szCs w:val="22"/>
        </w:rPr>
        <w:t>T</w:t>
      </w:r>
      <w:r w:rsidR="00016E11">
        <w:rPr>
          <w:szCs w:val="22"/>
        </w:rPr>
        <w:t>hermolysin</w:t>
      </w:r>
      <w:r w:rsidR="005D0A2F">
        <w:rPr>
          <w:szCs w:val="22"/>
        </w:rPr>
        <w:t>,</w:t>
      </w:r>
      <w:r w:rsidR="00AF72D4">
        <w:rPr>
          <w:szCs w:val="22"/>
        </w:rPr>
        <w:t xml:space="preserve"> </w:t>
      </w:r>
      <w:r>
        <w:rPr>
          <w:szCs w:val="22"/>
        </w:rPr>
        <w:t>converts the</w:t>
      </w:r>
      <w:r w:rsidR="00097821">
        <w:rPr>
          <w:szCs w:val="22"/>
        </w:rPr>
        <w:t xml:space="preserve"> substrate proteins and peptides in various </w:t>
      </w:r>
      <w:r w:rsidR="00617A44">
        <w:rPr>
          <w:szCs w:val="22"/>
        </w:rPr>
        <w:t>proteinaceous foods</w:t>
      </w:r>
      <w:r w:rsidR="00895885">
        <w:rPr>
          <w:szCs w:val="22"/>
        </w:rPr>
        <w:t>, resulting</w:t>
      </w:r>
      <w:r>
        <w:rPr>
          <w:szCs w:val="22"/>
        </w:rPr>
        <w:t xml:space="preserve"> </w:t>
      </w:r>
      <w:r w:rsidR="00097821">
        <w:rPr>
          <w:szCs w:val="22"/>
        </w:rPr>
        <w:t xml:space="preserve">in </w:t>
      </w:r>
      <w:r>
        <w:rPr>
          <w:szCs w:val="22"/>
        </w:rPr>
        <w:t xml:space="preserve">the </w:t>
      </w:r>
      <w:r w:rsidR="00097821">
        <w:rPr>
          <w:szCs w:val="22"/>
        </w:rPr>
        <w:t>improvement of physiological properties (foam</w:t>
      </w:r>
      <w:r w:rsidR="00AA0BD7">
        <w:rPr>
          <w:szCs w:val="22"/>
        </w:rPr>
        <w:t xml:space="preserve">ing </w:t>
      </w:r>
      <w:r w:rsidR="00097821">
        <w:rPr>
          <w:szCs w:val="22"/>
        </w:rPr>
        <w:t xml:space="preserve">ability, emulsifying ability, heat stability, viscosity) and </w:t>
      </w:r>
      <w:r w:rsidR="00962D86">
        <w:rPr>
          <w:szCs w:val="22"/>
        </w:rPr>
        <w:t>organoleptic properties (taste and flavour).</w:t>
      </w:r>
    </w:p>
    <w:p w14:paraId="7E0F56CF" w14:textId="77777777" w:rsidR="00184457" w:rsidRDefault="00037622" w:rsidP="00184457">
      <w:pPr>
        <w:pStyle w:val="Heading2"/>
      </w:pPr>
      <w:bookmarkStart w:id="20" w:name="_Toc506454333"/>
      <w:r>
        <w:t>1</w:t>
      </w:r>
      <w:r w:rsidR="00A56E34">
        <w:t>.3</w:t>
      </w:r>
      <w:r w:rsidR="00A56E34">
        <w:tab/>
        <w:t>The c</w:t>
      </w:r>
      <w:r w:rsidR="0053464E" w:rsidRPr="0053464E">
        <w:t>urrent Standard</w:t>
      </w:r>
      <w:bookmarkEnd w:id="18"/>
      <w:bookmarkEnd w:id="19"/>
      <w:bookmarkEnd w:id="20"/>
      <w:r w:rsidR="004E4F73">
        <w:t xml:space="preserve"> </w:t>
      </w:r>
    </w:p>
    <w:p w14:paraId="5C796927" w14:textId="36E45BE8" w:rsidR="007C312B" w:rsidRDefault="00D52F69" w:rsidP="00D52F69">
      <w:pPr>
        <w:rPr>
          <w:color w:val="000000" w:themeColor="text1"/>
        </w:rPr>
      </w:pPr>
      <w:r>
        <w:rPr>
          <w:color w:val="000000" w:themeColor="text1"/>
        </w:rPr>
        <w:t>Enzymes used to process and manufacture food are considered processing aids</w:t>
      </w:r>
      <w:r w:rsidR="007C312B" w:rsidRPr="007C312B">
        <w:t xml:space="preserve"> </w:t>
      </w:r>
      <w:r w:rsidR="007C312B" w:rsidRPr="007A2B38">
        <w:t xml:space="preserve">as </w:t>
      </w:r>
      <w:r w:rsidR="007C312B">
        <w:t xml:space="preserve">although they may be present in the final food, </w:t>
      </w:r>
      <w:r w:rsidR="007C312B" w:rsidRPr="007A2B38">
        <w:t>they are no longer providing a technological purpose</w:t>
      </w:r>
      <w:r w:rsidR="00A704BA">
        <w:t xml:space="preserve"> in that final food</w:t>
      </w:r>
      <w:r>
        <w:rPr>
          <w:color w:val="000000" w:themeColor="text1"/>
        </w:rPr>
        <w:t xml:space="preserve">. </w:t>
      </w:r>
    </w:p>
    <w:p w14:paraId="4A195BDA" w14:textId="77777777" w:rsidR="007C312B" w:rsidRDefault="007C312B" w:rsidP="00D52F69">
      <w:pPr>
        <w:rPr>
          <w:color w:val="000000" w:themeColor="text1"/>
        </w:rPr>
      </w:pPr>
    </w:p>
    <w:p w14:paraId="4D8C3342" w14:textId="3310E3E2" w:rsidR="00D52F69" w:rsidRDefault="00300A9D" w:rsidP="00D52F69">
      <w:r w:rsidRPr="007A2B38">
        <w:t>Paragraph 1.1.1</w:t>
      </w:r>
      <w:r w:rsidRPr="00DC1D7F">
        <w:t>—</w:t>
      </w:r>
      <w:r w:rsidRPr="007A2B38">
        <w:t xml:space="preserve">10(6)(c) of the Code provides that a food for sale must not have, as an ingredient or a component, a substance that is </w:t>
      </w:r>
      <w:r>
        <w:t>used</w:t>
      </w:r>
      <w:r w:rsidRPr="007A2B38">
        <w:t xml:space="preserve"> as a processing aid, unless expressly permitted</w:t>
      </w:r>
      <w:r w:rsidR="00D52F69" w:rsidRPr="00FE4508">
        <w:t>.</w:t>
      </w:r>
    </w:p>
    <w:p w14:paraId="407ED251" w14:textId="47A152B2" w:rsidR="000544D0" w:rsidRPr="00E04B34" w:rsidRDefault="000544D0" w:rsidP="000544D0"/>
    <w:p w14:paraId="0DA9AD41" w14:textId="2A032547" w:rsidR="000544D0" w:rsidRPr="00DC1D7F" w:rsidRDefault="000544D0" w:rsidP="000544D0">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the table to subsection S18—9(3).</w:t>
      </w:r>
      <w:r w:rsidR="00300A9D">
        <w:t xml:space="preserve"> </w:t>
      </w:r>
      <w:r w:rsidR="0089252A">
        <w:t xml:space="preserve">The table to subsection </w:t>
      </w:r>
      <w:r w:rsidR="0089252A" w:rsidRPr="00DC1D7F">
        <w:t>S18—4(5)</w:t>
      </w:r>
      <w:r w:rsidR="0089252A">
        <w:t xml:space="preserve"> lists enzymes that may be used as a processing aid to perform </w:t>
      </w:r>
      <w:r w:rsidR="0089252A" w:rsidRPr="00245507">
        <w:rPr>
          <w:i/>
        </w:rPr>
        <w:t>any</w:t>
      </w:r>
      <w:r w:rsidR="0089252A">
        <w:t xml:space="preserve"> technological purpose. </w:t>
      </w:r>
      <w:r w:rsidR="00300A9D">
        <w:t xml:space="preserve">The table to subsection S18—9(3) lists those substances, including enzymes, that are </w:t>
      </w:r>
      <w:r w:rsidR="0089252A">
        <w:t xml:space="preserve">only </w:t>
      </w:r>
      <w:r w:rsidR="00300A9D">
        <w:t xml:space="preserve">permitted to be used as processing aids for </w:t>
      </w:r>
      <w:r w:rsidR="00300A9D" w:rsidRPr="00245507">
        <w:rPr>
          <w:i/>
        </w:rPr>
        <w:t>specific</w:t>
      </w:r>
      <w:r w:rsidR="00300A9D">
        <w:t xml:space="preserve"> technological purposes.</w:t>
      </w:r>
    </w:p>
    <w:p w14:paraId="350B15B0" w14:textId="5ABE9A1B" w:rsidR="000544D0" w:rsidRDefault="000544D0" w:rsidP="00A402F5"/>
    <w:p w14:paraId="32FED8F7" w14:textId="55B9D5E8" w:rsidR="00A402F5" w:rsidRDefault="000B3BA6" w:rsidP="00A402F5">
      <w:pPr>
        <w:rPr>
          <w:color w:val="000000" w:themeColor="text1"/>
        </w:rPr>
      </w:pPr>
      <w:r w:rsidRPr="00AC7D3B">
        <w:t>There are no current permissions in Schedule 18 for</w:t>
      </w:r>
      <w:r>
        <w:t xml:space="preserve"> </w:t>
      </w:r>
      <w:r w:rsidR="000544D0">
        <w:t>thermolysin</w:t>
      </w:r>
      <w:r w:rsidRPr="00AC7D3B">
        <w:t xml:space="preserve"> </w:t>
      </w:r>
      <w:r w:rsidR="00266DBB">
        <w:t>sourced from</w:t>
      </w:r>
      <w:r w:rsidRPr="00AC7D3B">
        <w:t xml:space="preserve"> </w:t>
      </w:r>
      <w:r w:rsidR="00915DD4">
        <w:rPr>
          <w:i/>
        </w:rPr>
        <w:t>A. caldiproteolyticus</w:t>
      </w:r>
      <w:r w:rsidRPr="00D75584">
        <w:rPr>
          <w:i/>
        </w:rPr>
        <w:t>.</w:t>
      </w:r>
    </w:p>
    <w:p w14:paraId="3289E73F" w14:textId="77777777" w:rsidR="00A402F5" w:rsidRPr="003246F7" w:rsidRDefault="00A402F5" w:rsidP="00A402F5">
      <w:pPr>
        <w:pStyle w:val="Heading3"/>
      </w:pPr>
      <w:bookmarkStart w:id="21" w:name="_Toc392138895"/>
      <w:bookmarkStart w:id="22" w:name="_Toc402946760"/>
      <w:bookmarkStart w:id="23" w:name="_Toc404936793"/>
      <w:bookmarkStart w:id="24" w:name="_Toc438728874"/>
      <w:bookmarkStart w:id="25" w:name="_Toc506454334"/>
      <w:r w:rsidRPr="003246F7">
        <w:t>1.3.1</w:t>
      </w:r>
      <w:r w:rsidRPr="003246F7">
        <w:tab/>
        <w:t>International Standards</w:t>
      </w:r>
      <w:bookmarkEnd w:id="21"/>
      <w:bookmarkEnd w:id="22"/>
      <w:bookmarkEnd w:id="23"/>
      <w:bookmarkEnd w:id="24"/>
      <w:bookmarkEnd w:id="25"/>
    </w:p>
    <w:p w14:paraId="05CC755F" w14:textId="77777777" w:rsidR="00F22916" w:rsidRDefault="00A402F5" w:rsidP="00A402F5">
      <w:r w:rsidRPr="00A402F5">
        <w:t>Codex Alimentarius does not have specific Standards for processing</w:t>
      </w:r>
      <w:r w:rsidRPr="003246F7">
        <w:t xml:space="preserve"> aids or enzymes</w:t>
      </w:r>
      <w:r>
        <w:t>, and i</w:t>
      </w:r>
      <w:r w:rsidRPr="003246F7">
        <w:t xml:space="preserve">ndividual countries regulate the use of enzymes differently to the Code. </w:t>
      </w:r>
    </w:p>
    <w:p w14:paraId="3D79FB5D" w14:textId="77777777" w:rsidR="00F22916" w:rsidRDefault="00F22916" w:rsidP="00A402F5"/>
    <w:p w14:paraId="6F793174" w14:textId="04514969" w:rsidR="00A402F5" w:rsidRPr="003246F7" w:rsidRDefault="00A402F5" w:rsidP="00A402F5">
      <w:r w:rsidRPr="003246F7">
        <w:t xml:space="preserve">However, there are internationally recognised specifications for enzymes. These enzyme specifications are provided by the Joint FAO/WHO Expert Committee on Food Additives </w:t>
      </w:r>
      <w:r>
        <w:rPr>
          <w:noProof/>
        </w:rPr>
        <w:t>(</w:t>
      </w:r>
      <w:r w:rsidRPr="00055A6A">
        <w:rPr>
          <w:noProof/>
        </w:rPr>
        <w:t>JECFA, 2006</w:t>
      </w:r>
      <w:r>
        <w:rPr>
          <w:noProof/>
        </w:rPr>
        <w:t>)</w:t>
      </w:r>
      <w:r w:rsidRPr="003246F7">
        <w:t xml:space="preserve"> and the Food Chemicals Codex</w:t>
      </w:r>
      <w:r>
        <w:t xml:space="preserve"> (</w:t>
      </w:r>
      <w:r w:rsidRPr="00055A6A">
        <w:t>Food Chemicals Codex, 2015</w:t>
      </w:r>
      <w:r>
        <w:t>)</w:t>
      </w:r>
      <w:r w:rsidRPr="000A6D45">
        <w:t>.</w:t>
      </w:r>
    </w:p>
    <w:p w14:paraId="6D2ACBDB" w14:textId="77777777" w:rsidR="00C44CE6" w:rsidRDefault="00C44CE6" w:rsidP="003D7E56">
      <w:pPr>
        <w:pStyle w:val="Default"/>
        <w:rPr>
          <w:sz w:val="22"/>
          <w:szCs w:val="22"/>
        </w:rPr>
      </w:pPr>
    </w:p>
    <w:p w14:paraId="16C0D0D3" w14:textId="4E92B4B1" w:rsidR="003D7E56" w:rsidRPr="00BC25C9" w:rsidRDefault="003D7E56" w:rsidP="003D7E56">
      <w:pPr>
        <w:pStyle w:val="Default"/>
        <w:rPr>
          <w:sz w:val="22"/>
          <w:szCs w:val="22"/>
        </w:rPr>
      </w:pPr>
      <w:r w:rsidRPr="00BC25C9">
        <w:rPr>
          <w:sz w:val="22"/>
          <w:szCs w:val="22"/>
        </w:rPr>
        <w:t xml:space="preserve">The </w:t>
      </w:r>
      <w:r w:rsidR="00A402F5" w:rsidRPr="00BC25C9">
        <w:rPr>
          <w:sz w:val="22"/>
          <w:szCs w:val="22"/>
        </w:rPr>
        <w:t xml:space="preserve">Applicant notes that the </w:t>
      </w:r>
      <w:r w:rsidRPr="00BC25C9">
        <w:rPr>
          <w:sz w:val="22"/>
          <w:szCs w:val="22"/>
        </w:rPr>
        <w:t xml:space="preserve">following national and international standards are relevant to the current application: </w:t>
      </w:r>
    </w:p>
    <w:p w14:paraId="110D5D69" w14:textId="77777777" w:rsidR="003D7E56" w:rsidRPr="00BC25C9" w:rsidRDefault="003D7E56" w:rsidP="003D7E56">
      <w:pPr>
        <w:pStyle w:val="Default"/>
        <w:rPr>
          <w:sz w:val="22"/>
          <w:szCs w:val="22"/>
        </w:rPr>
      </w:pPr>
    </w:p>
    <w:p w14:paraId="7E17F59B" w14:textId="655CE259" w:rsidR="003D7E56" w:rsidRPr="00BC25C9" w:rsidRDefault="003D7E56" w:rsidP="00932C23">
      <w:pPr>
        <w:pStyle w:val="Default"/>
        <w:tabs>
          <w:tab w:val="left" w:pos="720"/>
          <w:tab w:val="left" w:pos="810"/>
        </w:tabs>
        <w:spacing w:after="43"/>
        <w:ind w:left="720" w:hanging="720"/>
        <w:rPr>
          <w:sz w:val="22"/>
          <w:szCs w:val="22"/>
        </w:rPr>
      </w:pPr>
      <w:r w:rsidRPr="00BC25C9">
        <w:rPr>
          <w:rFonts w:ascii="Wingdings" w:hAnsi="Wingdings" w:cs="Wingdings"/>
          <w:sz w:val="22"/>
          <w:szCs w:val="22"/>
        </w:rPr>
        <w:t></w:t>
      </w:r>
      <w:r w:rsidRPr="00BC25C9">
        <w:rPr>
          <w:rFonts w:ascii="Wingdings" w:hAnsi="Wingdings" w:cs="Wingdings"/>
          <w:sz w:val="22"/>
          <w:szCs w:val="22"/>
        </w:rPr>
        <w:t></w:t>
      </w:r>
      <w:r w:rsidR="00932C23">
        <w:rPr>
          <w:rFonts w:ascii="Wingdings" w:hAnsi="Wingdings" w:cs="Wingdings"/>
          <w:sz w:val="22"/>
          <w:szCs w:val="22"/>
        </w:rPr>
        <w:tab/>
      </w:r>
      <w:r w:rsidRPr="00BC25C9">
        <w:rPr>
          <w:sz w:val="22"/>
          <w:szCs w:val="22"/>
        </w:rPr>
        <w:t xml:space="preserve">Protease is listed on the Food Additive Index of CODEX General Standard for Food Additives (GSFA) (INS: 1101(i)). Also, this food enzyme, </w:t>
      </w:r>
      <w:r w:rsidR="005D0A2F">
        <w:rPr>
          <w:sz w:val="22"/>
          <w:szCs w:val="22"/>
        </w:rPr>
        <w:t>t</w:t>
      </w:r>
      <w:r w:rsidR="00016E11">
        <w:rPr>
          <w:sz w:val="22"/>
          <w:szCs w:val="22"/>
        </w:rPr>
        <w:t>hermolysin</w:t>
      </w:r>
      <w:r w:rsidRPr="00BC25C9">
        <w:rPr>
          <w:sz w:val="22"/>
          <w:szCs w:val="22"/>
        </w:rPr>
        <w:t xml:space="preserve"> (</w:t>
      </w:r>
      <w:r w:rsidR="005D0A2F">
        <w:rPr>
          <w:sz w:val="22"/>
          <w:szCs w:val="22"/>
        </w:rPr>
        <w:t>a p</w:t>
      </w:r>
      <w:r w:rsidRPr="00BC25C9">
        <w:rPr>
          <w:sz w:val="22"/>
          <w:szCs w:val="22"/>
        </w:rPr>
        <w:t xml:space="preserve">rotease), complies with the internationally accepted JECFA specifications for chemical and microbiological purity of food enzymes (FAO/WHO, 2006). </w:t>
      </w:r>
    </w:p>
    <w:p w14:paraId="78363C08" w14:textId="0C3EC7F4" w:rsidR="003D7E56" w:rsidRDefault="00D439AF" w:rsidP="00932C23">
      <w:pPr>
        <w:pStyle w:val="Default"/>
        <w:numPr>
          <w:ilvl w:val="0"/>
          <w:numId w:val="13"/>
        </w:numPr>
        <w:tabs>
          <w:tab w:val="left" w:pos="720"/>
          <w:tab w:val="left" w:pos="810"/>
        </w:tabs>
        <w:spacing w:after="43"/>
        <w:ind w:hanging="720"/>
        <w:rPr>
          <w:sz w:val="22"/>
          <w:szCs w:val="22"/>
        </w:rPr>
      </w:pPr>
      <w:r w:rsidRPr="00D439AF">
        <w:rPr>
          <w:sz w:val="22"/>
          <w:szCs w:val="22"/>
          <w:lang w:val="en-GB"/>
        </w:rPr>
        <w:lastRenderedPageBreak/>
        <w:t>Protease</w:t>
      </w:r>
      <w:r w:rsidR="004F60EB" w:rsidRPr="00BC25C9">
        <w:rPr>
          <w:sz w:val="22"/>
          <w:szCs w:val="22"/>
        </w:rPr>
        <w:t xml:space="preserve"> </w:t>
      </w:r>
      <w:r w:rsidR="00895885">
        <w:rPr>
          <w:sz w:val="22"/>
          <w:szCs w:val="22"/>
        </w:rPr>
        <w:t xml:space="preserve">sourced </w:t>
      </w:r>
      <w:r w:rsidR="004F60EB" w:rsidRPr="00BC25C9">
        <w:rPr>
          <w:sz w:val="22"/>
          <w:szCs w:val="22"/>
        </w:rPr>
        <w:t>from</w:t>
      </w:r>
      <w:r w:rsidR="003D7E56" w:rsidRPr="00BC25C9">
        <w:rPr>
          <w:sz w:val="22"/>
          <w:szCs w:val="22"/>
        </w:rPr>
        <w:t xml:space="preserve"> </w:t>
      </w:r>
      <w:r w:rsidR="00915DD4">
        <w:rPr>
          <w:i/>
          <w:iCs/>
          <w:sz w:val="22"/>
          <w:szCs w:val="22"/>
        </w:rPr>
        <w:t>A. caldiproteolyticus</w:t>
      </w:r>
      <w:r w:rsidR="00B750B9">
        <w:rPr>
          <w:i/>
          <w:iCs/>
          <w:sz w:val="22"/>
          <w:szCs w:val="22"/>
        </w:rPr>
        <w:t xml:space="preserve"> </w:t>
      </w:r>
      <w:r w:rsidR="00F37E1E" w:rsidRPr="00F37E1E">
        <w:rPr>
          <w:iCs/>
          <w:sz w:val="22"/>
          <w:szCs w:val="22"/>
          <w:lang w:val="en-GB"/>
        </w:rPr>
        <w:t>(listed under its former name;</w:t>
      </w:r>
      <w:r w:rsidR="00F37E1E" w:rsidRPr="00F37E1E">
        <w:rPr>
          <w:i/>
          <w:iCs/>
          <w:sz w:val="22"/>
          <w:szCs w:val="22"/>
          <w:lang w:val="en-GB"/>
        </w:rPr>
        <w:t xml:space="preserve"> Geobacillus stearothermophilus</w:t>
      </w:r>
      <w:r w:rsidR="00F37E1E" w:rsidRPr="00F37E1E">
        <w:rPr>
          <w:iCs/>
          <w:sz w:val="22"/>
          <w:szCs w:val="22"/>
          <w:lang w:val="en-GB"/>
        </w:rPr>
        <w:t>)</w:t>
      </w:r>
      <w:r w:rsidR="00F37E1E" w:rsidRPr="00F37E1E">
        <w:rPr>
          <w:i/>
          <w:iCs/>
          <w:sz w:val="22"/>
          <w:szCs w:val="22"/>
          <w:lang w:val="en-GB"/>
        </w:rPr>
        <w:t xml:space="preserve"> </w:t>
      </w:r>
      <w:r w:rsidR="005D0A2F">
        <w:rPr>
          <w:sz w:val="22"/>
          <w:szCs w:val="22"/>
        </w:rPr>
        <w:t>i</w:t>
      </w:r>
      <w:r w:rsidR="003D7E56" w:rsidRPr="00BC25C9">
        <w:rPr>
          <w:sz w:val="22"/>
          <w:szCs w:val="22"/>
        </w:rPr>
        <w:t>s approved in France</w:t>
      </w:r>
      <w:r w:rsidR="001E3E78">
        <w:rPr>
          <w:rStyle w:val="FootnoteReference"/>
          <w:sz w:val="22"/>
          <w:szCs w:val="22"/>
        </w:rPr>
        <w:footnoteReference w:id="2"/>
      </w:r>
      <w:r w:rsidR="003D7E56" w:rsidRPr="00BC25C9">
        <w:rPr>
          <w:sz w:val="22"/>
          <w:szCs w:val="22"/>
        </w:rPr>
        <w:t>.</w:t>
      </w:r>
    </w:p>
    <w:p w14:paraId="66931AC1" w14:textId="6671C232" w:rsidR="00AF387F" w:rsidRPr="00184457" w:rsidRDefault="00F33BB8" w:rsidP="00D062E4">
      <w:pPr>
        <w:pStyle w:val="Heading2"/>
      </w:pPr>
      <w:bookmarkStart w:id="26" w:name="_Toc286391007"/>
      <w:bookmarkStart w:id="27" w:name="_Toc506454335"/>
      <w:bookmarkStart w:id="28" w:name="_Toc300933423"/>
      <w:bookmarkStart w:id="29" w:name="_Toc175381432"/>
      <w:r w:rsidRPr="00184457">
        <w:t>1</w:t>
      </w:r>
      <w:r w:rsidR="00606C88" w:rsidRPr="00184457">
        <w:t>.4</w:t>
      </w:r>
      <w:r w:rsidR="001542D8" w:rsidRPr="00184457">
        <w:tab/>
      </w:r>
      <w:r w:rsidR="00741EFE" w:rsidRPr="00184457">
        <w:t>Reasons for accepting A</w:t>
      </w:r>
      <w:r w:rsidR="00AF387F" w:rsidRPr="00184457">
        <w:t>pplication</w:t>
      </w:r>
      <w:bookmarkEnd w:id="26"/>
      <w:bookmarkEnd w:id="27"/>
      <w:r w:rsidR="00180C41" w:rsidRPr="00184457">
        <w:t xml:space="preserve"> </w:t>
      </w:r>
      <w:bookmarkEnd w:id="28"/>
    </w:p>
    <w:p w14:paraId="4ED724AA" w14:textId="0E497546" w:rsidR="00F10BD9" w:rsidRDefault="00180C41" w:rsidP="00F10BD9">
      <w:pPr>
        <w:pStyle w:val="FSBullet1"/>
        <w:numPr>
          <w:ilvl w:val="0"/>
          <w:numId w:val="0"/>
        </w:numPr>
        <w:ind w:left="567" w:hanging="567"/>
      </w:pPr>
      <w:bookmarkStart w:id="30" w:name="_Toc286391008"/>
      <w:bookmarkStart w:id="31" w:name="_Toc11735630"/>
      <w:bookmarkStart w:id="32" w:name="_Toc29883114"/>
      <w:bookmarkStart w:id="33" w:name="_Toc41906801"/>
      <w:bookmarkStart w:id="34" w:name="_Toc41907548"/>
      <w:bookmarkStart w:id="35" w:name="_Toc120358578"/>
      <w:bookmarkStart w:id="36" w:name="_Toc175381435"/>
      <w:bookmarkEnd w:id="4"/>
      <w:bookmarkEnd w:id="5"/>
      <w:bookmarkEnd w:id="6"/>
      <w:bookmarkEnd w:id="7"/>
      <w:bookmarkEnd w:id="8"/>
      <w:bookmarkEnd w:id="29"/>
      <w:r w:rsidRPr="00D75584">
        <w:t xml:space="preserve">The Application was accepted for assessment </w:t>
      </w:r>
      <w:r w:rsidR="00741EFE" w:rsidRPr="00D75584">
        <w:t>because</w:t>
      </w:r>
      <w:r w:rsidR="00F10BD9">
        <w:t>:</w:t>
      </w:r>
      <w:r w:rsidR="00487919" w:rsidRPr="00D75584">
        <w:t xml:space="preserve"> </w:t>
      </w:r>
    </w:p>
    <w:p w14:paraId="3324C490" w14:textId="77777777" w:rsidR="00D52F69" w:rsidRPr="00D52F69" w:rsidRDefault="00D52F69" w:rsidP="00D52F69">
      <w:pPr>
        <w:rPr>
          <w:lang w:bidi="ar-SA"/>
        </w:rPr>
      </w:pPr>
    </w:p>
    <w:p w14:paraId="62921CB6" w14:textId="5BEEB890" w:rsidR="00180C41" w:rsidRPr="000C105B" w:rsidRDefault="00741EFE" w:rsidP="009F62C7">
      <w:pPr>
        <w:pStyle w:val="FSBullet1"/>
        <w:tabs>
          <w:tab w:val="left" w:pos="630"/>
        </w:tabs>
        <w:ind w:left="630" w:hanging="630"/>
      </w:pPr>
      <w:r w:rsidRPr="00D75584">
        <w:t>it complied</w:t>
      </w:r>
      <w:r w:rsidR="00180C41" w:rsidRPr="00D75584">
        <w:t xml:space="preserve"> with the procedural requirements under s</w:t>
      </w:r>
      <w:r w:rsidR="00944BA4" w:rsidRPr="00D75584">
        <w:t>ubsection</w:t>
      </w:r>
      <w:r w:rsidR="00180C41" w:rsidRPr="00D75584">
        <w:t xml:space="preserve"> 22(2)</w:t>
      </w:r>
      <w:r w:rsidR="0092261F">
        <w:t>; and</w:t>
      </w:r>
      <w:r w:rsidRPr="000C105B">
        <w:t xml:space="preserve"> </w:t>
      </w:r>
    </w:p>
    <w:p w14:paraId="1A645207" w14:textId="77777777" w:rsidR="00180C41" w:rsidRPr="000C105B" w:rsidRDefault="00180C41" w:rsidP="00F10BD9">
      <w:pPr>
        <w:pStyle w:val="FSBullet1"/>
        <w:numPr>
          <w:ilvl w:val="0"/>
          <w:numId w:val="0"/>
        </w:numPr>
        <w:ind w:left="567"/>
      </w:pPr>
    </w:p>
    <w:p w14:paraId="13528176" w14:textId="77777777" w:rsidR="0092261F" w:rsidRPr="00BA7D93" w:rsidRDefault="0092261F" w:rsidP="0092261F">
      <w:pPr>
        <w:pStyle w:val="FSBullet1"/>
      </w:pPr>
      <w:r w:rsidRPr="00BA7D93">
        <w:t>it related to a matter that warranted the variation of a food regulatory measure</w:t>
      </w:r>
      <w:r>
        <w:t>.</w:t>
      </w:r>
    </w:p>
    <w:p w14:paraId="10CA09AF" w14:textId="77777777" w:rsidR="00DE79D9" w:rsidRPr="000C105B" w:rsidRDefault="00D3171B" w:rsidP="00DE79D9">
      <w:pPr>
        <w:pStyle w:val="Heading2"/>
      </w:pPr>
      <w:bookmarkStart w:id="37" w:name="_Toc506454336"/>
      <w:r w:rsidRPr="000C105B">
        <w:t>1</w:t>
      </w:r>
      <w:r w:rsidR="00606C88" w:rsidRPr="000C105B">
        <w:t>.5</w:t>
      </w:r>
      <w:r w:rsidR="00DE79D9" w:rsidRPr="000C105B">
        <w:tab/>
        <w:t>Procedure for assessment</w:t>
      </w:r>
      <w:bookmarkEnd w:id="37"/>
    </w:p>
    <w:p w14:paraId="31E23E1D" w14:textId="63E3C9DD" w:rsidR="00DE79D9" w:rsidRPr="00505A68" w:rsidRDefault="00DE79D9" w:rsidP="00DE79D9">
      <w:r w:rsidRPr="00505A68">
        <w:t>The Application is being assessed under the General</w:t>
      </w:r>
      <w:r w:rsidR="00505A68" w:rsidRPr="00505A68">
        <w:t xml:space="preserve"> </w:t>
      </w:r>
      <w:r w:rsidRPr="00505A68">
        <w:t>Procedure.</w:t>
      </w:r>
    </w:p>
    <w:p w14:paraId="4F75B993" w14:textId="77777777" w:rsidR="00DE79D9" w:rsidRPr="00D062E4" w:rsidRDefault="00DE79D9" w:rsidP="00180C41"/>
    <w:p w14:paraId="725D0A7A" w14:textId="77777777" w:rsidR="00AF387F" w:rsidRPr="00180C41" w:rsidRDefault="00D3171B" w:rsidP="00180C41">
      <w:pPr>
        <w:pStyle w:val="Heading1"/>
      </w:pPr>
      <w:bookmarkStart w:id="38" w:name="_Toc300933424"/>
      <w:bookmarkStart w:id="39" w:name="_Toc506454337"/>
      <w:r>
        <w:t>2</w:t>
      </w:r>
      <w:r w:rsidR="001542D8">
        <w:tab/>
      </w:r>
      <w:r w:rsidR="00350DBD">
        <w:t>S</w:t>
      </w:r>
      <w:r w:rsidR="00FB1533">
        <w:t>ummary of the a</w:t>
      </w:r>
      <w:r w:rsidR="00FD2FBE">
        <w:t>ssessment</w:t>
      </w:r>
      <w:bookmarkEnd w:id="30"/>
      <w:bookmarkEnd w:id="38"/>
      <w:bookmarkEnd w:id="39"/>
    </w:p>
    <w:p w14:paraId="715BDDC3" w14:textId="6B3189BD" w:rsidR="004F69F6" w:rsidRPr="00932F14" w:rsidRDefault="00D3171B" w:rsidP="004646F8">
      <w:pPr>
        <w:pStyle w:val="Heading2"/>
      </w:pPr>
      <w:bookmarkStart w:id="40" w:name="_Toc286391009"/>
      <w:bookmarkStart w:id="41" w:name="_Toc300933425"/>
      <w:bookmarkStart w:id="42" w:name="_Toc506454338"/>
      <w:bookmarkStart w:id="43" w:name="_Toc120358583"/>
      <w:bookmarkStart w:id="44" w:name="_Toc175381440"/>
      <w:r>
        <w:t>2</w:t>
      </w:r>
      <w:r w:rsidR="00271F00">
        <w:t>.</w:t>
      </w:r>
      <w:r w:rsidR="001A6A1F">
        <w:t>1</w:t>
      </w:r>
      <w:r w:rsidR="00271F00">
        <w:tab/>
      </w:r>
      <w:r w:rsidR="004F69F6" w:rsidRPr="00932F14">
        <w:t xml:space="preserve">Risk </w:t>
      </w:r>
      <w:r w:rsidR="0032327E">
        <w:t xml:space="preserve">and technical </w:t>
      </w:r>
      <w:r w:rsidR="00741EFE">
        <w:t>a</w:t>
      </w:r>
      <w:r w:rsidR="004F69F6" w:rsidRPr="00932F14">
        <w:t>ssessment</w:t>
      </w:r>
      <w:bookmarkEnd w:id="40"/>
      <w:bookmarkEnd w:id="41"/>
      <w:bookmarkEnd w:id="42"/>
      <w:r w:rsidR="004F69F6" w:rsidRPr="00932F14">
        <w:t xml:space="preserve"> </w:t>
      </w:r>
      <w:bookmarkEnd w:id="43"/>
      <w:bookmarkEnd w:id="44"/>
    </w:p>
    <w:p w14:paraId="784CC44B" w14:textId="5B17FD00" w:rsidR="00D52F69" w:rsidRPr="005A4612" w:rsidRDefault="00D52F69" w:rsidP="00D52F69">
      <w:r w:rsidRPr="005A4612">
        <w:t xml:space="preserve">FSANZ </w:t>
      </w:r>
      <w:r w:rsidR="00454573">
        <w:t xml:space="preserve">has conducted an assessment of the public health and safety risks associated with </w:t>
      </w:r>
      <w:r w:rsidRPr="005A4612">
        <w:t xml:space="preserve">the enzyme preparation containing thermolysin produced by </w:t>
      </w:r>
      <w:r w:rsidRPr="005A4612">
        <w:rPr>
          <w:i/>
        </w:rPr>
        <w:t xml:space="preserve">A. </w:t>
      </w:r>
      <w:r>
        <w:rPr>
          <w:i/>
        </w:rPr>
        <w:t>c</w:t>
      </w:r>
      <w:r w:rsidRPr="005A4612">
        <w:rPr>
          <w:i/>
        </w:rPr>
        <w:t xml:space="preserve">aldiproteolyticus </w:t>
      </w:r>
      <w:r w:rsidRPr="005A4612">
        <w:t>strain TP-7</w:t>
      </w:r>
      <w:r w:rsidRPr="005A4612">
        <w:rPr>
          <w:i/>
        </w:rPr>
        <w:t>,</w:t>
      </w:r>
      <w:r w:rsidRPr="005A4612">
        <w:t xml:space="preserve"> as a food processing aid </w:t>
      </w:r>
      <w:r w:rsidR="000D4CE6">
        <w:t>and concluded:</w:t>
      </w:r>
    </w:p>
    <w:p w14:paraId="43B5EBAC" w14:textId="0A3CB080" w:rsidR="0032327E" w:rsidRPr="005A4612" w:rsidRDefault="0032327E" w:rsidP="00F10BD9">
      <w:pPr>
        <w:pStyle w:val="FSBullet1"/>
        <w:numPr>
          <w:ilvl w:val="0"/>
          <w:numId w:val="0"/>
        </w:numPr>
        <w:ind w:left="567" w:hanging="567"/>
      </w:pPr>
    </w:p>
    <w:p w14:paraId="351EFD27" w14:textId="71B28D82" w:rsidR="0032327E" w:rsidRPr="005A4612" w:rsidRDefault="00D52F69" w:rsidP="00F10BD9">
      <w:pPr>
        <w:pStyle w:val="FSBullet1"/>
      </w:pPr>
      <w:r>
        <w:t>t</w:t>
      </w:r>
      <w:r w:rsidR="0032327E" w:rsidRPr="005A4612">
        <w:t xml:space="preserve">he production organism is not toxigenic or pathogenic. </w:t>
      </w:r>
      <w:r w:rsidR="004F60EB" w:rsidRPr="005A4612">
        <w:t xml:space="preserve">Further, </w:t>
      </w:r>
      <w:r w:rsidR="00915DD4" w:rsidRPr="005A4612">
        <w:rPr>
          <w:i/>
        </w:rPr>
        <w:t>A. caldiproteolyticus</w:t>
      </w:r>
      <w:r w:rsidR="004F60EB" w:rsidRPr="005A4612">
        <w:rPr>
          <w:i/>
        </w:rPr>
        <w:t xml:space="preserve"> </w:t>
      </w:r>
      <w:r w:rsidR="004F60EB" w:rsidRPr="005A4612">
        <w:t xml:space="preserve">has a long history of safe use overseas as the production organism for a number of </w:t>
      </w:r>
      <w:r w:rsidR="005C3CB4">
        <w:t xml:space="preserve">enzyme </w:t>
      </w:r>
      <w:r w:rsidR="004F60EB" w:rsidRPr="005A4612">
        <w:t>processing aids.</w:t>
      </w:r>
    </w:p>
    <w:p w14:paraId="00E28894" w14:textId="77777777" w:rsidR="0032327E" w:rsidRPr="005A4612" w:rsidRDefault="0032327E" w:rsidP="00F10BD9">
      <w:pPr>
        <w:pStyle w:val="FSBullet1"/>
        <w:numPr>
          <w:ilvl w:val="0"/>
          <w:numId w:val="0"/>
        </w:numPr>
        <w:ind w:left="567"/>
      </w:pPr>
    </w:p>
    <w:p w14:paraId="0D9E4D37" w14:textId="66162127" w:rsidR="0032327E" w:rsidRPr="006737E1" w:rsidRDefault="00D52F69" w:rsidP="006737E1">
      <w:pPr>
        <w:pStyle w:val="FSBullet1"/>
      </w:pPr>
      <w:r>
        <w:t>u</w:t>
      </w:r>
      <w:r w:rsidR="006737E1">
        <w:t>nder the recommended conditions of use, t</w:t>
      </w:r>
      <w:r w:rsidR="006737E1" w:rsidRPr="005A4612">
        <w:t xml:space="preserve">hermolysin </w:t>
      </w:r>
      <w:r w:rsidR="0032327E" w:rsidRPr="005A4612">
        <w:t xml:space="preserve">is </w:t>
      </w:r>
      <w:r w:rsidR="006737E1">
        <w:t xml:space="preserve">inactivated by heating, </w:t>
      </w:r>
      <w:r w:rsidR="006737E1" w:rsidRPr="006737E1">
        <w:t xml:space="preserve">so there is no enzyme activity </w:t>
      </w:r>
      <w:r w:rsidR="005C3CB4">
        <w:t>remaining</w:t>
      </w:r>
      <w:r w:rsidR="005C3CB4" w:rsidRPr="006737E1">
        <w:t xml:space="preserve"> </w:t>
      </w:r>
      <w:r w:rsidR="006737E1" w:rsidRPr="006737E1">
        <w:t>in the final product.</w:t>
      </w:r>
    </w:p>
    <w:p w14:paraId="0D04FA58" w14:textId="77777777" w:rsidR="0032327E" w:rsidRPr="005A4612" w:rsidRDefault="0032327E" w:rsidP="00F10BD9">
      <w:pPr>
        <w:pStyle w:val="FSBullet1"/>
        <w:numPr>
          <w:ilvl w:val="0"/>
          <w:numId w:val="0"/>
        </w:numPr>
        <w:ind w:left="567"/>
      </w:pPr>
    </w:p>
    <w:p w14:paraId="362E48F8" w14:textId="4E9C4843" w:rsidR="00681190" w:rsidRDefault="00D52F69" w:rsidP="00F10BD9">
      <w:pPr>
        <w:pStyle w:val="FSBullet1"/>
      </w:pPr>
      <w:r>
        <w:t>b</w:t>
      </w:r>
      <w:r w:rsidR="00065EA6" w:rsidRPr="005A4612">
        <w:t>ioinformatics</w:t>
      </w:r>
      <w:r w:rsidR="0032327E" w:rsidRPr="005A4612">
        <w:t xml:space="preserve"> analysis indicated that </w:t>
      </w:r>
      <w:r w:rsidR="00826363" w:rsidRPr="005A4612">
        <w:t>t</w:t>
      </w:r>
      <w:r w:rsidR="00016E11" w:rsidRPr="005A4612">
        <w:t>hermolysin</w:t>
      </w:r>
      <w:r w:rsidR="0032327E" w:rsidRPr="005A4612">
        <w:t xml:space="preserve"> has no biologically relevant homology to known food protein allergens.</w:t>
      </w:r>
      <w:r w:rsidR="00827ECC">
        <w:t xml:space="preserve"> </w:t>
      </w:r>
    </w:p>
    <w:p w14:paraId="3A1CF0B5" w14:textId="6AEEAD68" w:rsidR="0032327E" w:rsidRPr="005A4612" w:rsidRDefault="0032327E" w:rsidP="00F10BD9">
      <w:pPr>
        <w:pStyle w:val="FSBullet1"/>
        <w:numPr>
          <w:ilvl w:val="0"/>
          <w:numId w:val="0"/>
        </w:numPr>
        <w:ind w:left="567"/>
      </w:pPr>
    </w:p>
    <w:p w14:paraId="034B2118" w14:textId="4A38C92B" w:rsidR="0032327E" w:rsidRPr="005A4612" w:rsidRDefault="00D52F69" w:rsidP="001A3B31">
      <w:pPr>
        <w:pStyle w:val="FSBullet1"/>
        <w:numPr>
          <w:ilvl w:val="0"/>
          <w:numId w:val="13"/>
        </w:numPr>
        <w:ind w:left="540" w:hanging="540"/>
      </w:pPr>
      <w:r>
        <w:t>t</w:t>
      </w:r>
      <w:r w:rsidR="0032327E" w:rsidRPr="005A4612">
        <w:t xml:space="preserve">he </w:t>
      </w:r>
      <w:r w:rsidR="00826363" w:rsidRPr="005A4612">
        <w:t>t</w:t>
      </w:r>
      <w:r w:rsidR="00016E11" w:rsidRPr="005A4612">
        <w:t>hermolysin</w:t>
      </w:r>
      <w:r w:rsidR="0032327E" w:rsidRPr="005A4612">
        <w:t xml:space="preserve"> preparation caused no observable effects at the highest tested doses in a </w:t>
      </w:r>
      <w:r w:rsidR="006D6874">
        <w:t xml:space="preserve">91-day </w:t>
      </w:r>
      <w:r w:rsidR="0032327E" w:rsidRPr="005A4612">
        <w:t xml:space="preserve">repeated dose toxicity study in rats. The NOAEL for the </w:t>
      </w:r>
      <w:r w:rsidR="00826363" w:rsidRPr="005A4612">
        <w:t>t</w:t>
      </w:r>
      <w:r w:rsidR="00016E11" w:rsidRPr="005A4612">
        <w:t>hermolysin</w:t>
      </w:r>
      <w:r w:rsidR="0032327E" w:rsidRPr="005A4612">
        <w:t xml:space="preserve"> concentrate was determined to be </w:t>
      </w:r>
      <w:r w:rsidR="006D6874">
        <w:t>1</w:t>
      </w:r>
      <w:r w:rsidR="006D6874" w:rsidRPr="005A4612">
        <w:t xml:space="preserve">000 </w:t>
      </w:r>
      <w:r w:rsidR="0032327E" w:rsidRPr="005A4612">
        <w:t xml:space="preserve">mg/kg </w:t>
      </w:r>
      <w:r w:rsidR="006D6874">
        <w:t>bw</w:t>
      </w:r>
      <w:r w:rsidR="0032327E" w:rsidRPr="005A4612">
        <w:t xml:space="preserve">/day for </w:t>
      </w:r>
      <w:r w:rsidR="006D6874">
        <w:t xml:space="preserve">Sprague Dawley </w:t>
      </w:r>
      <w:r w:rsidR="0032327E" w:rsidRPr="005A4612">
        <w:t xml:space="preserve">rats. </w:t>
      </w:r>
      <w:r w:rsidR="006D6874">
        <w:t xml:space="preserve">Assuming a Total Organic Solids (TOS) concentration of 42.2% in thermolysin powder, this dose level is equivalent to </w:t>
      </w:r>
      <w:r w:rsidR="006D6874" w:rsidRPr="006D6874">
        <w:t>422 mg TOS/kg bw/day</w:t>
      </w:r>
      <w:r w:rsidR="006D6874">
        <w:t>.</w:t>
      </w:r>
    </w:p>
    <w:p w14:paraId="74413C9B" w14:textId="77777777" w:rsidR="0032327E" w:rsidRPr="005A4612" w:rsidRDefault="0032327E" w:rsidP="001A3B31">
      <w:pPr>
        <w:pStyle w:val="FSBullet1"/>
        <w:numPr>
          <w:ilvl w:val="0"/>
          <w:numId w:val="0"/>
        </w:numPr>
        <w:ind w:left="630" w:hanging="630"/>
      </w:pPr>
    </w:p>
    <w:p w14:paraId="05BEEA92" w14:textId="341F5B9D" w:rsidR="0032327E" w:rsidRDefault="00D52F69" w:rsidP="001A3B31">
      <w:pPr>
        <w:pStyle w:val="FSBullet1"/>
        <w:numPr>
          <w:ilvl w:val="0"/>
          <w:numId w:val="13"/>
        </w:numPr>
        <w:ind w:left="540" w:hanging="540"/>
      </w:pPr>
      <w:r>
        <w:t>t</w:t>
      </w:r>
      <w:r w:rsidR="0032327E" w:rsidRPr="005A4612">
        <w:t>he enzyme was not genotoxic or mutagenic</w:t>
      </w:r>
      <w:r w:rsidR="006737E1">
        <w:rPr>
          <w:i/>
        </w:rPr>
        <w:t xml:space="preserve"> </w:t>
      </w:r>
      <w:r w:rsidR="006737E1" w:rsidRPr="00FE7DBF">
        <w:t xml:space="preserve">in a mouse micronucleus </w:t>
      </w:r>
      <w:r w:rsidR="006D6874">
        <w:t>assay</w:t>
      </w:r>
      <w:r w:rsidR="006737E1" w:rsidRPr="00FE7DBF">
        <w:t xml:space="preserve"> or </w:t>
      </w:r>
      <w:r w:rsidR="006D6874">
        <w:t>a chromosomal aberration assay carried out in Chinese hamster lung fibroblasts</w:t>
      </w:r>
      <w:r w:rsidR="0032327E" w:rsidRPr="006737E1">
        <w:t>.</w:t>
      </w:r>
    </w:p>
    <w:p w14:paraId="320A5AE5" w14:textId="6274A19D" w:rsidR="00D14388" w:rsidRDefault="00D14388" w:rsidP="001A3B31">
      <w:pPr>
        <w:ind w:left="630" w:hanging="630"/>
      </w:pPr>
    </w:p>
    <w:p w14:paraId="2F690237" w14:textId="117F5773" w:rsidR="00D14388" w:rsidRPr="00D14388" w:rsidRDefault="00D14388" w:rsidP="001A3B31">
      <w:pPr>
        <w:pStyle w:val="ListParagraph"/>
        <w:numPr>
          <w:ilvl w:val="0"/>
          <w:numId w:val="13"/>
        </w:numPr>
        <w:ind w:left="540" w:hanging="540"/>
      </w:pPr>
      <w:r w:rsidRPr="00D14388">
        <w:rPr>
          <w:lang w:bidi="ar-SA"/>
        </w:rPr>
        <w:t>Tuna protein from the culture medium may be present in thermolysin-treated foods at low levels. There is no established threshold for allergenic responses to fish proteins such that exposure to even low amounts of tuna protein in thermolysin-treated foods is potentially hazardous to individuals with an allergy to that food. Risk management measures are indicated for the protection of this sensitive subpopulation.</w:t>
      </w:r>
    </w:p>
    <w:p w14:paraId="0839886F" w14:textId="77777777" w:rsidR="0032327E" w:rsidRPr="005A4612" w:rsidRDefault="0032327E" w:rsidP="0032327E"/>
    <w:p w14:paraId="04EB538D" w14:textId="77777777" w:rsidR="00641715" w:rsidRDefault="00D52F69" w:rsidP="003677C7">
      <w:r w:rsidRPr="005A4612">
        <w:t xml:space="preserve">Based on the reviewed toxicological data, </w:t>
      </w:r>
      <w:r>
        <w:t xml:space="preserve">FSANZ </w:t>
      </w:r>
      <w:r w:rsidRPr="005A4612">
        <w:t>concluded that</w:t>
      </w:r>
      <w:r w:rsidR="00C974B0">
        <w:t>,</w:t>
      </w:r>
      <w:r w:rsidRPr="005A4612">
        <w:t xml:space="preserve"> in the absence of any identifiable hazard, an Acceptable Daily Intake (ADI) ‘not specified’ is appropriate. A dietary exposure assessment is therefore not required</w:t>
      </w:r>
      <w:r w:rsidR="003677C7">
        <w:t xml:space="preserve">. </w:t>
      </w:r>
    </w:p>
    <w:p w14:paraId="0E72772D" w14:textId="56B550D8" w:rsidR="00BA6DD8" w:rsidRPr="005A4612" w:rsidRDefault="00BA6DD8" w:rsidP="003677C7">
      <w:r w:rsidRPr="005A4612">
        <w:lastRenderedPageBreak/>
        <w:t>For further details on the risk assessment, refer to the Risk and Technical Assessment Report (SD1).</w:t>
      </w:r>
    </w:p>
    <w:p w14:paraId="722508C3" w14:textId="03BB50B7" w:rsidR="004F69F6" w:rsidRPr="00932F14" w:rsidRDefault="00D3171B" w:rsidP="004646F8">
      <w:pPr>
        <w:pStyle w:val="Heading2"/>
      </w:pPr>
      <w:bookmarkStart w:id="45" w:name="_Toc175381442"/>
      <w:bookmarkStart w:id="46" w:name="_Toc286391010"/>
      <w:bookmarkStart w:id="47" w:name="_Toc300933426"/>
      <w:bookmarkStart w:id="48" w:name="_Toc506454339"/>
      <w:r>
        <w:t>2</w:t>
      </w:r>
      <w:r w:rsidR="0045556F">
        <w:t>.</w:t>
      </w:r>
      <w:r w:rsidR="001A6A1F">
        <w:t>2</w:t>
      </w:r>
      <w:r w:rsidR="00271F00">
        <w:tab/>
      </w:r>
      <w:bookmarkEnd w:id="45"/>
      <w:bookmarkEnd w:id="46"/>
      <w:bookmarkEnd w:id="47"/>
      <w:r w:rsidR="0045556F">
        <w:t>R</w:t>
      </w:r>
      <w:r w:rsidR="00707E72">
        <w:t>isk m</w:t>
      </w:r>
      <w:r w:rsidR="008A35FB">
        <w:t>anagement</w:t>
      </w:r>
      <w:r w:rsidR="00111634">
        <w:t xml:space="preserve"> considerations</w:t>
      </w:r>
      <w:bookmarkEnd w:id="48"/>
    </w:p>
    <w:p w14:paraId="13AAF30A" w14:textId="47F5434F" w:rsidR="00F22916" w:rsidRDefault="00F22916" w:rsidP="00F22916">
      <w:bookmarkStart w:id="49" w:name="_Toc300761910"/>
      <w:r>
        <w:t>T</w:t>
      </w:r>
      <w:r w:rsidRPr="00D51698">
        <w:t>he risk management options available to FSANZ</w:t>
      </w:r>
      <w:r>
        <w:t>, after assessment, were</w:t>
      </w:r>
      <w:r w:rsidRPr="00D51698">
        <w:t xml:space="preserve"> to </w:t>
      </w:r>
      <w:r>
        <w:t>reject the Application or to prepare a draft variation</w:t>
      </w:r>
      <w:r w:rsidRPr="00D51698">
        <w:t xml:space="preserve"> </w:t>
      </w:r>
      <w:r>
        <w:t>to amend the Code to permit the enzyme’s use as processing aid</w:t>
      </w:r>
      <w:r w:rsidRPr="00D51698">
        <w:t>, impo</w:t>
      </w:r>
      <w:r>
        <w:t>sing any appropriate conditions</w:t>
      </w:r>
      <w:r w:rsidRPr="00D51698">
        <w:t>.</w:t>
      </w:r>
    </w:p>
    <w:p w14:paraId="01D7839D" w14:textId="1BD7B056" w:rsidR="00E81055" w:rsidRDefault="00E81055" w:rsidP="00F22916"/>
    <w:p w14:paraId="3C94958E" w14:textId="2A0755FB" w:rsidR="00E81055" w:rsidRDefault="00E81055" w:rsidP="00F22916">
      <w:r w:rsidRPr="0044606A">
        <w:t>The</w:t>
      </w:r>
      <w:r>
        <w:t xml:space="preserve">se options are considered </w:t>
      </w:r>
      <w:r w:rsidRPr="0044606A">
        <w:t xml:space="preserve">in section 2.4.1.1 </w:t>
      </w:r>
      <w:r>
        <w:t xml:space="preserve">and </w:t>
      </w:r>
      <w:r w:rsidRPr="0044606A">
        <w:t>take account of the safety of the enzyme preparation.</w:t>
      </w:r>
      <w:r w:rsidRPr="00FA241F">
        <w:t xml:space="preserve"> </w:t>
      </w:r>
      <w:r w:rsidRPr="0044606A">
        <w:t xml:space="preserve">Other risk management </w:t>
      </w:r>
      <w:r>
        <w:t xml:space="preserve">issues </w:t>
      </w:r>
      <w:r w:rsidRPr="0044606A">
        <w:t>relate to enzyme nomenclature and labelling</w:t>
      </w:r>
      <w:r>
        <w:t xml:space="preserve"> as </w:t>
      </w:r>
      <w:r w:rsidRPr="0044606A">
        <w:t>discussed below.</w:t>
      </w:r>
    </w:p>
    <w:p w14:paraId="56176526" w14:textId="77777777" w:rsidR="00F22916" w:rsidRDefault="00F22916" w:rsidP="00EC7DDA"/>
    <w:p w14:paraId="7501F436" w14:textId="6CA549F8" w:rsidR="00EC7DDA" w:rsidRDefault="00EC7DDA" w:rsidP="00EC7DDA">
      <w:r w:rsidRPr="0044606A">
        <w:t xml:space="preserve">The risk assessment conclusions </w:t>
      </w:r>
      <w:r w:rsidR="00435A4B">
        <w:t>are based on</w:t>
      </w:r>
      <w:r w:rsidR="00435A4B" w:rsidRPr="0044606A">
        <w:t xml:space="preserve"> </w:t>
      </w:r>
      <w:r w:rsidRPr="0044606A">
        <w:t xml:space="preserve">evidence that there are no safety risks </w:t>
      </w:r>
      <w:r w:rsidR="001A3B31">
        <w:t>for the general population, however there may exist a potential hazard for consumers sensitive to fish protein. T</w:t>
      </w:r>
      <w:r w:rsidRPr="0044606A">
        <w:t xml:space="preserve">he use of this enzyme </w:t>
      </w:r>
      <w:r w:rsidR="00F22916">
        <w:t>in the manner proposed in the Application and that its use as a processing aid in the quantity and form proposed is technologically justified</w:t>
      </w:r>
      <w:r w:rsidRPr="0044606A">
        <w:t xml:space="preserve">. </w:t>
      </w:r>
    </w:p>
    <w:p w14:paraId="23DF6082" w14:textId="0DA4FAE6" w:rsidR="003D7E56" w:rsidRDefault="003D7E56" w:rsidP="003D7E56">
      <w:pPr>
        <w:pStyle w:val="Heading3"/>
      </w:pPr>
      <w:bookmarkStart w:id="50" w:name="_Toc393271473"/>
      <w:bookmarkStart w:id="51" w:name="_Toc402946766"/>
      <w:bookmarkStart w:id="52" w:name="_Toc408481344"/>
      <w:bookmarkStart w:id="53" w:name="_Toc422314550"/>
      <w:bookmarkStart w:id="54" w:name="_Toc506454340"/>
      <w:r w:rsidRPr="000B5D0F">
        <w:t>2.2.1</w:t>
      </w:r>
      <w:r w:rsidRPr="000B5D0F">
        <w:tab/>
      </w:r>
      <w:r w:rsidR="00406227">
        <w:t>Source microorganism and e</w:t>
      </w:r>
      <w:r w:rsidRPr="000B5D0F">
        <w:t>nzyme nomenclature</w:t>
      </w:r>
      <w:bookmarkEnd w:id="50"/>
      <w:bookmarkEnd w:id="51"/>
      <w:bookmarkEnd w:id="52"/>
      <w:bookmarkEnd w:id="53"/>
      <w:bookmarkEnd w:id="54"/>
      <w:r w:rsidR="00D819D1">
        <w:t xml:space="preserve"> </w:t>
      </w:r>
    </w:p>
    <w:p w14:paraId="24A85F49" w14:textId="3CE5CC0B" w:rsidR="00055825" w:rsidRDefault="00055825" w:rsidP="00055825">
      <w:bookmarkStart w:id="55" w:name="_Toc452622544"/>
      <w:bookmarkStart w:id="56" w:name="_Toc492455653"/>
      <w:bookmarkEnd w:id="55"/>
      <w:bookmarkEnd w:id="56"/>
      <w:r>
        <w:t xml:space="preserve">The Code does not normally identify microorganisms </w:t>
      </w:r>
      <w:r w:rsidR="00435A4B">
        <w:t>at the</w:t>
      </w:r>
      <w:r>
        <w:t xml:space="preserve"> strain</w:t>
      </w:r>
      <w:r w:rsidR="00435A4B">
        <w:t xml:space="preserve"> level</w:t>
      </w:r>
      <w:r w:rsidR="00C974B0">
        <w:t>.</w:t>
      </w:r>
      <w:r>
        <w:t xml:space="preserve"> </w:t>
      </w:r>
      <w:r w:rsidR="00C974B0">
        <w:t>H</w:t>
      </w:r>
      <w:r>
        <w:t>owever</w:t>
      </w:r>
      <w:r w:rsidR="00C974B0">
        <w:t>,</w:t>
      </w:r>
      <w:r>
        <w:t xml:space="preserve"> if </w:t>
      </w:r>
      <w:r w:rsidR="00C974B0">
        <w:t xml:space="preserve">the draft variation is </w:t>
      </w:r>
      <w:r>
        <w:t xml:space="preserve">approved, the Code would specifically refer to thermolysin sourced </w:t>
      </w:r>
      <w:r w:rsidRPr="00AE52E1">
        <w:t xml:space="preserve">from </w:t>
      </w:r>
      <w:r w:rsidR="00C5601A" w:rsidRPr="00C5601A">
        <w:rPr>
          <w:i/>
        </w:rPr>
        <w:t>Anoxybacillus</w:t>
      </w:r>
      <w:r>
        <w:rPr>
          <w:i/>
        </w:rPr>
        <w:t xml:space="preserve"> caldiproteolyticus</w:t>
      </w:r>
      <w:r>
        <w:rPr>
          <w:i/>
          <w:lang w:bidi="ar-SA"/>
        </w:rPr>
        <w:t xml:space="preserve"> </w:t>
      </w:r>
      <w:r w:rsidRPr="00E04B34">
        <w:rPr>
          <w:lang w:bidi="ar-SA"/>
        </w:rPr>
        <w:t xml:space="preserve">strain </w:t>
      </w:r>
      <w:r>
        <w:rPr>
          <w:lang w:bidi="ar-SA"/>
        </w:rPr>
        <w:t xml:space="preserve">TP-7. The basis for listing as such is that the safety data provided by the Applicant </w:t>
      </w:r>
      <w:r w:rsidR="00895885">
        <w:rPr>
          <w:lang w:bidi="ar-SA"/>
        </w:rPr>
        <w:t>referred</w:t>
      </w:r>
      <w:r>
        <w:rPr>
          <w:lang w:bidi="ar-SA"/>
        </w:rPr>
        <w:t xml:space="preserve"> only to their own TP-7 strain of </w:t>
      </w:r>
      <w:r>
        <w:rPr>
          <w:i/>
        </w:rPr>
        <w:t>A. caldiproteolyticus.</w:t>
      </w:r>
    </w:p>
    <w:p w14:paraId="7041C8EA" w14:textId="77777777" w:rsidR="00055825" w:rsidRDefault="00055825" w:rsidP="0093681F"/>
    <w:p w14:paraId="5990F855" w14:textId="2009E9B8" w:rsidR="00E631B2" w:rsidRDefault="00CF072E" w:rsidP="0093681F">
      <w:r w:rsidRPr="00F62AE3">
        <w:t xml:space="preserve">Information </w:t>
      </w:r>
      <w:r w:rsidR="00D52F69">
        <w:t>about</w:t>
      </w:r>
      <w:r w:rsidR="00D52F69" w:rsidRPr="00F62AE3">
        <w:t xml:space="preserve"> </w:t>
      </w:r>
      <w:r w:rsidRPr="00F62AE3">
        <w:t xml:space="preserve">the identity of the enzyme provided by the Application has been verified using the appropriate internationally accepted reference for enzyme nomenclature, the International Union of Biology and Molecular Biology (IUBMB 2016). </w:t>
      </w:r>
      <w:r w:rsidR="0093681F" w:rsidRPr="00F62AE3">
        <w:t>T</w:t>
      </w:r>
      <w:r w:rsidRPr="00F62AE3">
        <w:t xml:space="preserve">he </w:t>
      </w:r>
      <w:r w:rsidR="0093681F" w:rsidRPr="00F62AE3">
        <w:t xml:space="preserve">accepted </w:t>
      </w:r>
      <w:r w:rsidRPr="00F62AE3">
        <w:t>IUBMB</w:t>
      </w:r>
      <w:r w:rsidR="0093681F" w:rsidRPr="00F62AE3">
        <w:t xml:space="preserve"> name is </w:t>
      </w:r>
      <w:r w:rsidR="00826363">
        <w:t>t</w:t>
      </w:r>
      <w:r w:rsidR="00016E11">
        <w:t>hermolysin</w:t>
      </w:r>
      <w:r w:rsidR="0093681F" w:rsidRPr="00F62AE3">
        <w:t>, for enzymes with an EC</w:t>
      </w:r>
      <w:r w:rsidR="0093681F" w:rsidRPr="000544D0">
        <w:rPr>
          <w:sz w:val="18"/>
          <w:vertAlign w:val="superscript"/>
        </w:rPr>
        <w:footnoteReference w:id="3"/>
      </w:r>
      <w:r w:rsidR="0093681F" w:rsidRPr="00F62AE3">
        <w:t xml:space="preserve"> number 3.4.2</w:t>
      </w:r>
      <w:r w:rsidR="00833063">
        <w:t>4</w:t>
      </w:r>
      <w:r w:rsidR="0093681F" w:rsidRPr="00F62AE3">
        <w:t>.</w:t>
      </w:r>
      <w:r w:rsidR="00833063">
        <w:t>27</w:t>
      </w:r>
      <w:r w:rsidR="00E631B2">
        <w:t xml:space="preserve"> (see SD1). </w:t>
      </w:r>
    </w:p>
    <w:p w14:paraId="3C04AF1A" w14:textId="44EFEE3A" w:rsidR="00FA241F" w:rsidRDefault="00E631B2" w:rsidP="005A4612">
      <w:pPr>
        <w:pStyle w:val="Heading3"/>
      </w:pPr>
      <w:bookmarkStart w:id="57" w:name="_Toc422314551"/>
      <w:bookmarkStart w:id="58" w:name="_Toc438728881"/>
      <w:bookmarkStart w:id="59" w:name="_Toc506454341"/>
      <w:r w:rsidRPr="000544D0">
        <w:t>2.2.</w:t>
      </w:r>
      <w:r w:rsidR="00EF2F88">
        <w:t>2</w:t>
      </w:r>
      <w:r w:rsidR="00FA241F" w:rsidRPr="000544D0">
        <w:tab/>
        <w:t>Labelling considerations</w:t>
      </w:r>
      <w:bookmarkEnd w:id="57"/>
      <w:bookmarkEnd w:id="58"/>
      <w:bookmarkEnd w:id="59"/>
    </w:p>
    <w:p w14:paraId="164DB01F" w14:textId="77777777" w:rsidR="00E136DE" w:rsidRDefault="00E136DE" w:rsidP="00E136DE">
      <w:r>
        <w:t>As a general rule, p</w:t>
      </w:r>
      <w:r w:rsidRPr="00C70B37">
        <w:t xml:space="preserve">rocessing aids are exempt from the requirement to be declared in the statement of ingredients in accordance with </w:t>
      </w:r>
      <w:r>
        <w:t xml:space="preserve">paragraphs </w:t>
      </w:r>
      <w:r w:rsidRPr="00C70B37">
        <w:t xml:space="preserve">1.2.4—3(2)(d) and (e) of </w:t>
      </w:r>
      <w:r>
        <w:t>Standard 1.2.4</w:t>
      </w:r>
      <w:r w:rsidRPr="00C70B37">
        <w:t>.</w:t>
      </w:r>
    </w:p>
    <w:p w14:paraId="4F18348F" w14:textId="77777777" w:rsidR="00E136DE" w:rsidRDefault="00E136DE" w:rsidP="00E136DE"/>
    <w:p w14:paraId="5C2D5D89" w14:textId="7C3DE425" w:rsidR="00BC7746" w:rsidRDefault="0072709C" w:rsidP="00E136DE">
      <w:r>
        <w:t>The risk assessment concludes that the use of the enzyme preparation containing thermolysin</w:t>
      </w:r>
      <w:r w:rsidRPr="00BB47E2">
        <w:t xml:space="preserve"> </w:t>
      </w:r>
      <w:r>
        <w:t xml:space="preserve">sourced </w:t>
      </w:r>
      <w:r w:rsidRPr="00BB47E2">
        <w:t xml:space="preserve">from </w:t>
      </w:r>
      <w:r>
        <w:rPr>
          <w:i/>
        </w:rPr>
        <w:t>A. caldiproteolyticus</w:t>
      </w:r>
      <w:r>
        <w:t xml:space="preserve"> strain TP-7</w:t>
      </w:r>
      <w:r>
        <w:rPr>
          <w:i/>
        </w:rPr>
        <w:t xml:space="preserve"> </w:t>
      </w:r>
      <w:r>
        <w:t>poses no risk to public health and safety</w:t>
      </w:r>
      <w:r w:rsidR="0011100F">
        <w:t xml:space="preserve"> for the general population</w:t>
      </w:r>
      <w:r>
        <w:t>.</w:t>
      </w:r>
      <w:r w:rsidR="004042EE">
        <w:t xml:space="preserve"> </w:t>
      </w:r>
      <w:r w:rsidR="00867399" w:rsidRPr="00867399">
        <w:t>Therefore, the generic exemption from declaration of processing aids in the statement of ingredients will apply to foods containing this processing aid and no additional labelling requirements are proposed.</w:t>
      </w:r>
    </w:p>
    <w:p w14:paraId="466F9586" w14:textId="49DD883A" w:rsidR="00CB553B" w:rsidRDefault="00CB553B" w:rsidP="00BC7746"/>
    <w:p w14:paraId="60C00A8D" w14:textId="15034EA4" w:rsidR="004042EE" w:rsidRDefault="0053775B" w:rsidP="00BC7746">
      <w:r w:rsidRPr="0053775B">
        <w:t xml:space="preserve">The Code requires the mandatory declaration of certain known allergens. </w:t>
      </w:r>
      <w:r w:rsidR="004042EE">
        <w:t>F</w:t>
      </w:r>
      <w:r w:rsidR="004042EE" w:rsidRPr="004042EE">
        <w:t>ish (Tuna) products are used in the fermentation media</w:t>
      </w:r>
      <w:r w:rsidR="004042EE">
        <w:t>. I</w:t>
      </w:r>
      <w:r w:rsidR="004042EE" w:rsidRPr="004042EE">
        <w:t xml:space="preserve">f fish </w:t>
      </w:r>
      <w:r w:rsidR="004042EE">
        <w:t xml:space="preserve">is </w:t>
      </w:r>
      <w:r w:rsidR="004042EE" w:rsidRPr="004042EE">
        <w:t>present in a food for sale, including when present as a processing aid or an ingredient or com</w:t>
      </w:r>
      <w:r w:rsidR="004042EE">
        <w:t>ponent of a processing aid, it is</w:t>
      </w:r>
      <w:r w:rsidR="004042EE" w:rsidRPr="004042EE">
        <w:t xml:space="preserve"> required to be declared under section 1.2.3—4 of Standard 1.2.3. </w:t>
      </w:r>
    </w:p>
    <w:p w14:paraId="0D1A7BA6" w14:textId="77777777" w:rsidR="00BC7746" w:rsidRPr="0059228D" w:rsidRDefault="00BC7746" w:rsidP="00E136DE"/>
    <w:p w14:paraId="64A74BA3" w14:textId="43C52B20" w:rsidR="004833D2" w:rsidRDefault="004833D2" w:rsidP="00FE40A3">
      <w:pPr>
        <w:rPr>
          <w:highlight w:val="yellow"/>
        </w:rPr>
      </w:pPr>
      <w:r>
        <w:rPr>
          <w:highlight w:val="yellow"/>
        </w:rPr>
        <w:br w:type="page"/>
      </w:r>
    </w:p>
    <w:p w14:paraId="3B5B5CDB" w14:textId="1558DC06" w:rsidR="00137869" w:rsidRDefault="00137869" w:rsidP="00444801">
      <w:pPr>
        <w:pStyle w:val="Heading3"/>
        <w:tabs>
          <w:tab w:val="left" w:pos="810"/>
        </w:tabs>
        <w:ind w:left="0" w:firstLine="0"/>
      </w:pPr>
      <w:bookmarkStart w:id="60" w:name="_Toc506454342"/>
      <w:r>
        <w:lastRenderedPageBreak/>
        <w:t>2.2.</w:t>
      </w:r>
      <w:r w:rsidR="00EF2F88">
        <w:t>3</w:t>
      </w:r>
      <w:r w:rsidR="002C53BA">
        <w:tab/>
      </w:r>
      <w:r>
        <w:t>Risk management conclusion</w:t>
      </w:r>
      <w:bookmarkEnd w:id="60"/>
    </w:p>
    <w:p w14:paraId="01211285" w14:textId="1EDA4150" w:rsidR="001E61D3" w:rsidRDefault="00137869" w:rsidP="00137869">
      <w:r w:rsidRPr="0044606A">
        <w:t>A</w:t>
      </w:r>
      <w:r>
        <w:t>s</w:t>
      </w:r>
      <w:r w:rsidRPr="0044606A">
        <w:t xml:space="preserve"> </w:t>
      </w:r>
      <w:r w:rsidR="00895885" w:rsidRPr="0044606A">
        <w:t>processing</w:t>
      </w:r>
      <w:r w:rsidRPr="0044606A">
        <w:t xml:space="preserve"> aids require permissions in the Code, the main risk management option available to FSANZ is to </w:t>
      </w:r>
      <w:r w:rsidR="009E6392">
        <w:t xml:space="preserve">either </w:t>
      </w:r>
      <w:r w:rsidRPr="0044606A">
        <w:t xml:space="preserve">reject the </w:t>
      </w:r>
      <w:r w:rsidR="00435A4B">
        <w:t>application</w:t>
      </w:r>
      <w:r w:rsidRPr="0044606A">
        <w:t xml:space="preserve"> to amend the Code</w:t>
      </w:r>
      <w:r w:rsidR="009E6392">
        <w:t xml:space="preserve">; or </w:t>
      </w:r>
      <w:r w:rsidR="009E6392" w:rsidRPr="0044606A">
        <w:t xml:space="preserve">approve </w:t>
      </w:r>
      <w:r w:rsidR="009E6392">
        <w:t xml:space="preserve">the </w:t>
      </w:r>
      <w:r w:rsidR="00435A4B">
        <w:t xml:space="preserve">application </w:t>
      </w:r>
      <w:r w:rsidR="009E6392">
        <w:t xml:space="preserve">to amend the Code </w:t>
      </w:r>
      <w:r>
        <w:t>and impose any conditions that may be appropriate</w:t>
      </w:r>
      <w:r w:rsidRPr="0044606A">
        <w:t xml:space="preserve">. </w:t>
      </w:r>
    </w:p>
    <w:p w14:paraId="085EFDF5" w14:textId="77777777" w:rsidR="00E67632" w:rsidRDefault="00E67632" w:rsidP="00137869"/>
    <w:p w14:paraId="264D77B0" w14:textId="6CE3490A" w:rsidR="00137869" w:rsidRDefault="00137869" w:rsidP="00137869">
      <w:r>
        <w:t>T</w:t>
      </w:r>
      <w:r w:rsidRPr="0044606A">
        <w:t>ak</w:t>
      </w:r>
      <w:r>
        <w:t xml:space="preserve">ing into account the risk assessment, the </w:t>
      </w:r>
      <w:r w:rsidRPr="0044606A">
        <w:t xml:space="preserve">enzyme nomenclature and labelling </w:t>
      </w:r>
      <w:r>
        <w:t>considerations, the risk management conclusion is</w:t>
      </w:r>
      <w:r w:rsidRPr="00F01661">
        <w:t xml:space="preserve"> to permi</w:t>
      </w:r>
      <w:r>
        <w:t xml:space="preserve">t thermolysin (EC </w:t>
      </w:r>
      <w:r w:rsidRPr="006B40A9">
        <w:t>3.4.24.27</w:t>
      </w:r>
      <w:r w:rsidRPr="006B40A9">
        <w:rPr>
          <w:lang w:val="en-AU"/>
        </w:rPr>
        <w:t>)</w:t>
      </w:r>
      <w:r>
        <w:t xml:space="preserve"> sourced from </w:t>
      </w:r>
      <w:r>
        <w:rPr>
          <w:i/>
        </w:rPr>
        <w:t>A. caldiproteolyticus</w:t>
      </w:r>
      <w:r w:rsidRPr="00FC4AAF">
        <w:t xml:space="preserve"> strain </w:t>
      </w:r>
      <w:r>
        <w:t xml:space="preserve">TP-7. </w:t>
      </w:r>
    </w:p>
    <w:p w14:paraId="04F56499" w14:textId="77777777" w:rsidR="00137869" w:rsidRDefault="00137869" w:rsidP="00137869"/>
    <w:p w14:paraId="5520E3E6" w14:textId="77777777" w:rsidR="00137869" w:rsidRPr="004A76AE" w:rsidRDefault="00137869" w:rsidP="00137869">
      <w:pPr>
        <w:rPr>
          <w:rFonts w:eastAsia="Calibri"/>
          <w:szCs w:val="22"/>
          <w:lang w:bidi="ar-SA"/>
        </w:rPr>
      </w:pPr>
      <w:r>
        <w:t>The permitted technological purpose of thermolysin</w:t>
      </w:r>
      <w:r w:rsidRPr="00E022DD">
        <w:t xml:space="preserve"> </w:t>
      </w:r>
      <w:r>
        <w:t xml:space="preserve">will </w:t>
      </w:r>
      <w:r>
        <w:rPr>
          <w:rFonts w:eastAsia="Calibri"/>
          <w:szCs w:val="22"/>
          <w:lang w:val="en-NZ" w:bidi="ar-SA"/>
        </w:rPr>
        <w:t>be t</w:t>
      </w:r>
      <w:r w:rsidRPr="004A76AE">
        <w:rPr>
          <w:rFonts w:eastAsia="Calibri"/>
          <w:szCs w:val="22"/>
          <w:lang w:val="en-NZ" w:bidi="ar-SA"/>
        </w:rPr>
        <w:t xml:space="preserve">o catalyse the hydrolysis of peptide bonds </w:t>
      </w:r>
      <w:r w:rsidRPr="004A76AE">
        <w:rPr>
          <w:rFonts w:eastAsia="Calibri"/>
          <w:szCs w:val="22"/>
          <w:lang w:bidi="ar-SA"/>
        </w:rPr>
        <w:t>during the manufacture and/or processing of the following types of food:</w:t>
      </w:r>
    </w:p>
    <w:p w14:paraId="69D3CFBC"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dairy</w:t>
      </w:r>
    </w:p>
    <w:p w14:paraId="7DD54FB0"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 xml:space="preserve">egg </w:t>
      </w:r>
    </w:p>
    <w:p w14:paraId="7B5EFE75"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meat</w:t>
      </w:r>
    </w:p>
    <w:p w14:paraId="0654C186"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fish</w:t>
      </w:r>
    </w:p>
    <w:p w14:paraId="7C90DE42"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protein</w:t>
      </w:r>
    </w:p>
    <w:p w14:paraId="5CAB8D1A"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yeast, and</w:t>
      </w:r>
    </w:p>
    <w:p w14:paraId="3C50F37D" w14:textId="77777777" w:rsidR="00137869" w:rsidRPr="004A76AE" w:rsidRDefault="00137869" w:rsidP="00137869">
      <w:pPr>
        <w:widowControl/>
        <w:numPr>
          <w:ilvl w:val="0"/>
          <w:numId w:val="15"/>
        </w:numPr>
        <w:contextualSpacing/>
        <w:rPr>
          <w:rFonts w:eastAsia="Calibri"/>
          <w:szCs w:val="22"/>
          <w:lang w:bidi="ar-SA"/>
        </w:rPr>
      </w:pPr>
      <w:r w:rsidRPr="004A76AE">
        <w:rPr>
          <w:rFonts w:eastAsia="Calibri"/>
          <w:szCs w:val="22"/>
          <w:lang w:bidi="ar-SA"/>
        </w:rPr>
        <w:t>flavouring.</w:t>
      </w:r>
    </w:p>
    <w:p w14:paraId="7DE5AF63" w14:textId="77777777" w:rsidR="00CA6820" w:rsidRDefault="00CA6820" w:rsidP="00137869">
      <w:pPr>
        <w:rPr>
          <w:lang w:val="en-NZ"/>
        </w:rPr>
      </w:pPr>
    </w:p>
    <w:p w14:paraId="709F8B08" w14:textId="7826250C" w:rsidR="00E820A4" w:rsidRPr="00E820A4" w:rsidRDefault="00E820A4" w:rsidP="00E820A4">
      <w:pPr>
        <w:rPr>
          <w:lang w:val="en-NZ"/>
        </w:rPr>
      </w:pPr>
      <w:r w:rsidRPr="00E820A4">
        <w:rPr>
          <w:lang w:val="en-NZ"/>
        </w:rPr>
        <w:t xml:space="preserve">During the reaction between thermolysin and proteinaceous foods, </w:t>
      </w:r>
      <w:r w:rsidR="00F67B11" w:rsidRPr="00E820A4">
        <w:rPr>
          <w:lang w:val="en-US"/>
        </w:rPr>
        <w:t>low molecular weight peptides and</w:t>
      </w:r>
      <w:r w:rsidR="00F67B11">
        <w:rPr>
          <w:lang w:val="en-NZ"/>
        </w:rPr>
        <w:t xml:space="preserve"> some </w:t>
      </w:r>
      <w:r w:rsidRPr="00E820A4">
        <w:rPr>
          <w:lang w:val="en-NZ"/>
        </w:rPr>
        <w:t>f</w:t>
      </w:r>
      <w:r w:rsidRPr="00E820A4">
        <w:rPr>
          <w:lang w:val="en-US"/>
        </w:rPr>
        <w:t xml:space="preserve">ree amino acids are generated, which is explained in the </w:t>
      </w:r>
      <w:r w:rsidR="00F67B11">
        <w:rPr>
          <w:lang w:val="en-US"/>
        </w:rPr>
        <w:t>A</w:t>
      </w:r>
      <w:r w:rsidRPr="00E820A4">
        <w:rPr>
          <w:lang w:val="en-US"/>
        </w:rPr>
        <w:t xml:space="preserve">pplication. These reactions help to improve taste and </w:t>
      </w:r>
      <w:r w:rsidR="006A7111">
        <w:rPr>
          <w:lang w:val="en-US"/>
        </w:rPr>
        <w:t xml:space="preserve">flavour, but are not by means of generated </w:t>
      </w:r>
      <w:r w:rsidR="00D9640C">
        <w:rPr>
          <w:lang w:val="en-US"/>
        </w:rPr>
        <w:t>monosodium glutamate (</w:t>
      </w:r>
      <w:r w:rsidR="006A7111">
        <w:rPr>
          <w:lang w:val="en-US"/>
        </w:rPr>
        <w:t>MSG</w:t>
      </w:r>
      <w:r w:rsidR="00D9640C">
        <w:rPr>
          <w:lang w:val="en-US"/>
        </w:rPr>
        <w:t>)</w:t>
      </w:r>
      <w:r w:rsidR="006A7111">
        <w:rPr>
          <w:lang w:val="en-US"/>
        </w:rPr>
        <w:t>.</w:t>
      </w:r>
    </w:p>
    <w:p w14:paraId="33A5B39C" w14:textId="77777777" w:rsidR="00E820A4" w:rsidRPr="00E820A4" w:rsidRDefault="00E820A4" w:rsidP="00E820A4">
      <w:pPr>
        <w:rPr>
          <w:lang w:val="en-NZ"/>
        </w:rPr>
      </w:pPr>
    </w:p>
    <w:p w14:paraId="661B3C4E" w14:textId="20984290" w:rsidR="004914D6" w:rsidRDefault="00E820A4" w:rsidP="00137869">
      <w:r w:rsidRPr="00E820A4">
        <w:rPr>
          <w:lang w:val="en-NZ"/>
        </w:rPr>
        <w:t xml:space="preserve">Amano confirms that </w:t>
      </w:r>
      <w:r w:rsidRPr="00E820A4">
        <w:rPr>
          <w:lang w:val="en-US"/>
        </w:rPr>
        <w:t xml:space="preserve">enzymes such as thermolysin from bacteria do not have peptidase activity and therefore, rarely produce amino acids. </w:t>
      </w:r>
      <w:r w:rsidR="006A7111">
        <w:rPr>
          <w:lang w:val="en-US"/>
        </w:rPr>
        <w:t>FSANZ concluded that</w:t>
      </w:r>
      <w:r w:rsidRPr="00E820A4">
        <w:rPr>
          <w:lang w:val="en-US"/>
        </w:rPr>
        <w:t xml:space="preserve"> that thermolysin does not increase the amount of free glutamates </w:t>
      </w:r>
      <w:r w:rsidRPr="00E820A4">
        <w:t>(MSG</w:t>
      </w:r>
      <w:r w:rsidR="006A7111">
        <w:t>) when used as a processing aid (see SD1, section 2.1).</w:t>
      </w:r>
    </w:p>
    <w:p w14:paraId="76B47126" w14:textId="77777777" w:rsidR="00396C27" w:rsidRDefault="00396C27" w:rsidP="00137869"/>
    <w:p w14:paraId="1291EA31" w14:textId="3F27191A" w:rsidR="00137869" w:rsidRDefault="00137869" w:rsidP="00137869">
      <w:r>
        <w:t xml:space="preserve">In the absence of any </w:t>
      </w:r>
      <w:r w:rsidRPr="00276BB3">
        <w:t xml:space="preserve">public health or safety </w:t>
      </w:r>
      <w:r>
        <w:t>concern</w:t>
      </w:r>
      <w:r w:rsidRPr="00276BB3">
        <w:t xml:space="preserve">s </w:t>
      </w:r>
      <w:r>
        <w:t>identified by the risk assessment</w:t>
      </w:r>
      <w:r w:rsidR="008F0B36">
        <w:t xml:space="preserve"> to the </w:t>
      </w:r>
      <w:r w:rsidR="008F0B36" w:rsidRPr="00D74EB4">
        <w:t>general population</w:t>
      </w:r>
      <w:r w:rsidR="006B4DB0" w:rsidRPr="00D74EB4">
        <w:t>,</w:t>
      </w:r>
      <w:r w:rsidRPr="00276BB3">
        <w:t xml:space="preserve"> </w:t>
      </w:r>
      <w:r>
        <w:t>addition will be in accordance with GMP.</w:t>
      </w:r>
    </w:p>
    <w:p w14:paraId="7094CF8B" w14:textId="61BE026B" w:rsidR="00137869" w:rsidRDefault="00137869" w:rsidP="00FA241F"/>
    <w:p w14:paraId="516FA600" w14:textId="323D711C" w:rsidR="00B95D71" w:rsidRDefault="00B95D71" w:rsidP="00A77238">
      <w:pPr>
        <w:ind w:left="851" w:hanging="851"/>
        <w:rPr>
          <w:b/>
        </w:rPr>
      </w:pPr>
      <w:r w:rsidRPr="00A77238">
        <w:rPr>
          <w:b/>
        </w:rPr>
        <w:t>2.2.4</w:t>
      </w:r>
      <w:r w:rsidRPr="00A77238">
        <w:rPr>
          <w:b/>
        </w:rPr>
        <w:tab/>
        <w:t>Differences between what the Applicant requested and FSANZ’s risk management conclusion</w:t>
      </w:r>
    </w:p>
    <w:p w14:paraId="7A29205A" w14:textId="3E0AAC52" w:rsidR="00B95D71" w:rsidRDefault="00B95D71" w:rsidP="00A77238">
      <w:pPr>
        <w:ind w:left="851" w:hanging="851"/>
        <w:rPr>
          <w:b/>
        </w:rPr>
      </w:pPr>
    </w:p>
    <w:p w14:paraId="3A81A16D" w14:textId="069E4BC6" w:rsidR="00B95D71" w:rsidRDefault="00B95D71" w:rsidP="00A77238">
      <w:pPr>
        <w:ind w:left="851" w:hanging="851"/>
      </w:pPr>
      <w:r>
        <w:t>FSANZ’s risk management conclusion and the Applicant’s request differs in two ways.</w:t>
      </w:r>
    </w:p>
    <w:p w14:paraId="01CDA980" w14:textId="6260603B" w:rsidR="00B95D71" w:rsidRDefault="00B95D71" w:rsidP="00A77238">
      <w:pPr>
        <w:ind w:left="851" w:hanging="851"/>
      </w:pPr>
    </w:p>
    <w:p w14:paraId="6B2D8178" w14:textId="66D440EB" w:rsidR="00B95D71" w:rsidRDefault="00B95D71" w:rsidP="00B95D71">
      <w:pPr>
        <w:rPr>
          <w:bCs/>
          <w:szCs w:val="28"/>
        </w:rPr>
      </w:pPr>
      <w:r>
        <w:t>First, t</w:t>
      </w:r>
      <w:r w:rsidRPr="00AE52E1">
        <w:t xml:space="preserve">he </w:t>
      </w:r>
      <w:r>
        <w:t>A</w:t>
      </w:r>
      <w:r w:rsidRPr="00AE52E1">
        <w:t>pplica</w:t>
      </w:r>
      <w:r>
        <w:t>nt</w:t>
      </w:r>
      <w:r w:rsidRPr="00AE52E1">
        <w:t xml:space="preserve"> </w:t>
      </w:r>
      <w:r w:rsidR="00435A4B">
        <w:t xml:space="preserve">sought </w:t>
      </w:r>
      <w:r>
        <w:t xml:space="preserve">to </w:t>
      </w:r>
      <w:r w:rsidRPr="00AE52E1">
        <w:t xml:space="preserve">amend Schedule 18 of the Code to permit the use of </w:t>
      </w:r>
      <w:r>
        <w:t xml:space="preserve">an enzyme, thermolysin (protease), sourced </w:t>
      </w:r>
      <w:r w:rsidRPr="00AE52E1">
        <w:t xml:space="preserve">from </w:t>
      </w:r>
      <w:r w:rsidRPr="00CF165F">
        <w:rPr>
          <w:i/>
          <w:iCs/>
          <w:lang w:val="en-AU" w:bidi="ar-SA"/>
        </w:rPr>
        <w:t>Anoxybacillus caldiproteolyticus</w:t>
      </w:r>
      <w:r w:rsidRPr="00D005D0">
        <w:rPr>
          <w:lang w:bidi="ar-SA"/>
        </w:rPr>
        <w:t xml:space="preserve"> </w:t>
      </w:r>
      <w:r>
        <w:rPr>
          <w:lang w:bidi="ar-SA"/>
        </w:rPr>
        <w:t>(</w:t>
      </w:r>
      <w:r>
        <w:rPr>
          <w:i/>
        </w:rPr>
        <w:t>A. caldiproteolyticus</w:t>
      </w:r>
      <w:r>
        <w:t xml:space="preserve">) (EC 3.4.24.27). However, </w:t>
      </w:r>
      <w:r>
        <w:rPr>
          <w:bCs/>
          <w:szCs w:val="28"/>
        </w:rPr>
        <w:t>t</w:t>
      </w:r>
      <w:r w:rsidRPr="00362046">
        <w:rPr>
          <w:bCs/>
          <w:szCs w:val="28"/>
        </w:rPr>
        <w:t xml:space="preserve">he safety data submitted by </w:t>
      </w:r>
      <w:r>
        <w:rPr>
          <w:bCs/>
          <w:szCs w:val="28"/>
        </w:rPr>
        <w:t>the Applicant</w:t>
      </w:r>
      <w:r w:rsidRPr="00362046">
        <w:rPr>
          <w:bCs/>
          <w:szCs w:val="28"/>
        </w:rPr>
        <w:t xml:space="preserve"> was only for thermolysin sourced from one particular strain of </w:t>
      </w:r>
      <w:r w:rsidRPr="00362046">
        <w:rPr>
          <w:bCs/>
          <w:i/>
          <w:szCs w:val="28"/>
        </w:rPr>
        <w:t xml:space="preserve">Anoxybacillus caldiproteolyticus </w:t>
      </w:r>
      <w:r w:rsidRPr="00362046">
        <w:rPr>
          <w:bCs/>
          <w:szCs w:val="28"/>
        </w:rPr>
        <w:t xml:space="preserve">(i.e., </w:t>
      </w:r>
      <w:r w:rsidRPr="00362046">
        <w:rPr>
          <w:bCs/>
          <w:i/>
          <w:szCs w:val="28"/>
        </w:rPr>
        <w:t xml:space="preserve">Anoxybacillus caldiproteolyticus </w:t>
      </w:r>
      <w:r>
        <w:rPr>
          <w:bCs/>
          <w:szCs w:val="28"/>
        </w:rPr>
        <w:t xml:space="preserve">strain </w:t>
      </w:r>
      <w:r w:rsidRPr="00362046">
        <w:rPr>
          <w:bCs/>
          <w:szCs w:val="28"/>
        </w:rPr>
        <w:t>TP-7). FSANZ therefore only assessed thermolysin sourced from that particular strain</w:t>
      </w:r>
      <w:r>
        <w:rPr>
          <w:bCs/>
          <w:szCs w:val="28"/>
        </w:rPr>
        <w:t>.</w:t>
      </w:r>
    </w:p>
    <w:p w14:paraId="1472C3B7" w14:textId="23706AC1" w:rsidR="00B95D71" w:rsidRDefault="00B95D71" w:rsidP="00B95D71">
      <w:pPr>
        <w:rPr>
          <w:bCs/>
          <w:szCs w:val="28"/>
        </w:rPr>
      </w:pPr>
    </w:p>
    <w:p w14:paraId="78CDD733" w14:textId="15B2F20A" w:rsidR="00B95D71" w:rsidRDefault="00B95D71" w:rsidP="00B95D71">
      <w:r>
        <w:rPr>
          <w:bCs/>
          <w:szCs w:val="28"/>
        </w:rPr>
        <w:t xml:space="preserve">Second, </w:t>
      </w:r>
      <w:r>
        <w:t xml:space="preserve">the Applicant had asked for thermolysin to be listed in table to </w:t>
      </w:r>
      <w:r w:rsidRPr="004A76AE">
        <w:t xml:space="preserve">subsection </w:t>
      </w:r>
      <w:r>
        <w:t>S18—4(5</w:t>
      </w:r>
      <w:r w:rsidRPr="004A76AE">
        <w:t>),</w:t>
      </w:r>
      <w:r>
        <w:t xml:space="preserve"> which would</w:t>
      </w:r>
      <w:r w:rsidRPr="00D51698">
        <w:t xml:space="preserve"> have permitted the enzyme’s use for </w:t>
      </w:r>
      <w:r w:rsidRPr="00A77238">
        <w:rPr>
          <w:i/>
        </w:rPr>
        <w:t>any</w:t>
      </w:r>
      <w:r w:rsidRPr="00D51698">
        <w:t xml:space="preserve"> technological purpose. This was not consistent with the risk assessment, which assessed the enzyme only for the technological purpose stated in the Application</w:t>
      </w:r>
      <w:r>
        <w:t xml:space="preserve"> i.e. </w:t>
      </w:r>
      <w:r w:rsidR="00A77238" w:rsidRPr="00A77238">
        <w:rPr>
          <w:lang w:val="en-NZ"/>
        </w:rPr>
        <w:t xml:space="preserve">to catalyse the hydrolysis of peptide bonds </w:t>
      </w:r>
      <w:r w:rsidR="00A77238" w:rsidRPr="00A77238">
        <w:t xml:space="preserve">during the manufacture and/or processing of </w:t>
      </w:r>
      <w:r w:rsidRPr="00016E11">
        <w:t xml:space="preserve">dairy, egg, meat, fish, yeast, protein products and </w:t>
      </w:r>
      <w:r>
        <w:t xml:space="preserve">in </w:t>
      </w:r>
      <w:r w:rsidRPr="00016E11">
        <w:t>flavouring production.</w:t>
      </w:r>
      <w:r w:rsidRPr="00D51698">
        <w:t xml:space="preserve"> </w:t>
      </w:r>
      <w:r w:rsidR="00DA34AF" w:rsidRPr="00D51698">
        <w:t>For this reason</w:t>
      </w:r>
      <w:r w:rsidR="00DA34AF">
        <w:t>,</w:t>
      </w:r>
      <w:r w:rsidR="00DA34AF" w:rsidRPr="00D51698">
        <w:t xml:space="preserve"> the permission for the enzyme will be listed in </w:t>
      </w:r>
      <w:r w:rsidR="00DA34AF">
        <w:t xml:space="preserve">the table to </w:t>
      </w:r>
      <w:r w:rsidR="00DA34AF" w:rsidRPr="00D51698">
        <w:t>subsection S18—9(3)</w:t>
      </w:r>
      <w:r w:rsidR="00DA34AF">
        <w:t xml:space="preserve"> of the Code instead.</w:t>
      </w:r>
    </w:p>
    <w:p w14:paraId="0BC5BF0F" w14:textId="77777777" w:rsidR="00B95D71" w:rsidRDefault="00B95D71" w:rsidP="00B95D71"/>
    <w:p w14:paraId="6DB7C0F5" w14:textId="4FB28217" w:rsidR="00E520FE" w:rsidRPr="00932F14" w:rsidRDefault="00A1229E" w:rsidP="00E520FE">
      <w:pPr>
        <w:pStyle w:val="Heading2"/>
      </w:pPr>
      <w:bookmarkStart w:id="61" w:name="_Toc300933435"/>
      <w:bookmarkStart w:id="62" w:name="_Toc506454343"/>
      <w:r>
        <w:lastRenderedPageBreak/>
        <w:t>2</w:t>
      </w:r>
      <w:r w:rsidR="001A6A1F">
        <w:t>.3</w:t>
      </w:r>
      <w:r w:rsidR="00E520FE">
        <w:tab/>
        <w:t>Risk communication</w:t>
      </w:r>
      <w:bookmarkEnd w:id="61"/>
      <w:bookmarkEnd w:id="62"/>
      <w:r w:rsidR="00E520FE">
        <w:t xml:space="preserve"> </w:t>
      </w:r>
    </w:p>
    <w:p w14:paraId="57EF9326" w14:textId="77777777" w:rsidR="0003415B" w:rsidRPr="009D6B10" w:rsidRDefault="0003415B" w:rsidP="0003415B">
      <w:pPr>
        <w:pStyle w:val="Heading3"/>
      </w:pPr>
      <w:bookmarkStart w:id="63" w:name="_Toc438728883"/>
      <w:bookmarkStart w:id="64" w:name="_Toc506454344"/>
      <w:bookmarkStart w:id="65" w:name="_Toc286391012"/>
      <w:r w:rsidRPr="009D6B10">
        <w:t>2.3.1</w:t>
      </w:r>
      <w:r w:rsidRPr="009D6B10">
        <w:tab/>
        <w:t>Consultation</w:t>
      </w:r>
      <w:bookmarkEnd w:id="63"/>
      <w:bookmarkEnd w:id="64"/>
    </w:p>
    <w:p w14:paraId="1C47E7C7" w14:textId="77777777" w:rsidR="0028016C" w:rsidRPr="00535F8F" w:rsidRDefault="0028016C" w:rsidP="0028016C">
      <w:r w:rsidRPr="00535F8F">
        <w:rPr>
          <w:szCs w:val="22"/>
        </w:rPr>
        <w:t xml:space="preserve">Consultation is a key part of FSANZ’s standards development process. </w:t>
      </w:r>
      <w:r w:rsidRPr="00535F8F">
        <w:t>FSANZ developed and applied a basic communication strategy to this Application. All calls for submissions are notified via the Food Standards Notification Circular, media release, FSANZ’s social media tools and Food Standards News.</w:t>
      </w:r>
    </w:p>
    <w:p w14:paraId="0D9376EB" w14:textId="77777777" w:rsidR="0028016C" w:rsidRDefault="0028016C" w:rsidP="0028016C"/>
    <w:p w14:paraId="6D45BCA2" w14:textId="50631AF2" w:rsidR="0028016C" w:rsidRPr="003168E4" w:rsidRDefault="0028016C" w:rsidP="0028016C">
      <w:pPr>
        <w:rPr>
          <w:szCs w:val="22"/>
        </w:rPr>
      </w:pPr>
      <w:r w:rsidRPr="00535F8F">
        <w:t>The process by which FSANZ considers standard development matters is open, accountable, consultative and transparent. Public submissions are called to obtain the views of interested parties on issues raised by the Application and the impacts of regulatory option</w:t>
      </w:r>
      <w:r w:rsidRPr="00F8714A">
        <w:t xml:space="preserve">s. </w:t>
      </w:r>
      <w:r w:rsidRPr="00F8714A">
        <w:rPr>
          <w:szCs w:val="22"/>
        </w:rPr>
        <w:t xml:space="preserve">FSANZ acknowledges the time taken by individuals and organisations to make </w:t>
      </w:r>
      <w:r w:rsidRPr="003168E4">
        <w:rPr>
          <w:szCs w:val="22"/>
        </w:rPr>
        <w:t>submissions on this Application.</w:t>
      </w:r>
    </w:p>
    <w:p w14:paraId="27627396" w14:textId="77777777" w:rsidR="0028016C" w:rsidRPr="003168E4" w:rsidRDefault="0028016C" w:rsidP="0028016C">
      <w:pPr>
        <w:rPr>
          <w:szCs w:val="22"/>
        </w:rPr>
      </w:pPr>
    </w:p>
    <w:p w14:paraId="06F90827" w14:textId="77777777" w:rsidR="0028016C" w:rsidRDefault="0028016C" w:rsidP="0028016C">
      <w:pPr>
        <w:rPr>
          <w:szCs w:val="22"/>
        </w:rPr>
      </w:pPr>
      <w:r w:rsidRPr="003168E4">
        <w:t xml:space="preserve">The </w:t>
      </w:r>
      <w:r w:rsidRPr="00535F8F">
        <w:t>draft variation will be considered for approval by the FSANZ Board taking into account public comments received from this call for submissions.</w:t>
      </w:r>
    </w:p>
    <w:p w14:paraId="4FAF074C" w14:textId="29386FC1" w:rsidR="00E520FE" w:rsidRDefault="001A6A1F" w:rsidP="00022DBC">
      <w:pPr>
        <w:pStyle w:val="Heading3"/>
      </w:pPr>
      <w:bookmarkStart w:id="66" w:name="_Toc300761912"/>
      <w:bookmarkStart w:id="67" w:name="_Toc300933439"/>
      <w:bookmarkStart w:id="68" w:name="_Toc506454345"/>
      <w:bookmarkEnd w:id="65"/>
      <w:r>
        <w:t>2.3</w:t>
      </w:r>
      <w:r w:rsidR="00022DBC" w:rsidRPr="00022DBC">
        <w:t>.2</w:t>
      </w:r>
      <w:r w:rsidR="00E520FE" w:rsidRPr="00022DBC">
        <w:tab/>
        <w:t>World Trade Organization (WTO)</w:t>
      </w:r>
      <w:bookmarkEnd w:id="66"/>
      <w:bookmarkEnd w:id="67"/>
      <w:bookmarkEnd w:id="68"/>
    </w:p>
    <w:p w14:paraId="6093C727" w14:textId="68030CA8" w:rsidR="00FF5B98" w:rsidRDefault="00FF5B98" w:rsidP="00FF5B98">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28E755A" w14:textId="77777777" w:rsidR="00FF5B98" w:rsidRDefault="00FF5B98" w:rsidP="00FF5B98">
      <w:pPr>
        <w:rPr>
          <w:rFonts w:cs="Arial"/>
          <w:color w:val="000000"/>
        </w:rPr>
      </w:pPr>
    </w:p>
    <w:p w14:paraId="65B92101" w14:textId="77777777" w:rsidR="005C2E99" w:rsidRDefault="00FF5B98" w:rsidP="00FF5B98">
      <w:pPr>
        <w:rPr>
          <w:rFonts w:cs="Arial"/>
        </w:rPr>
      </w:pPr>
      <w:r w:rsidRPr="00EC32B8">
        <w:rPr>
          <w:rFonts w:cs="Arial"/>
        </w:rPr>
        <w:t xml:space="preserve">There </w:t>
      </w:r>
      <w:r>
        <w:rPr>
          <w:rFonts w:cs="Arial"/>
        </w:rPr>
        <w:t>are</w:t>
      </w:r>
      <w:r w:rsidRPr="00EC32B8">
        <w:rPr>
          <w:rFonts w:cs="Arial"/>
        </w:rPr>
        <w:t xml:space="preserve"> no relevant international standards</w:t>
      </w:r>
      <w:r w:rsidR="0034015F">
        <w:rPr>
          <w:rFonts w:cs="Arial"/>
        </w:rPr>
        <w:t xml:space="preserve"> for processing aids or enzymes</w:t>
      </w:r>
      <w:r>
        <w:rPr>
          <w:rFonts w:cs="Arial"/>
        </w:rPr>
        <w:t xml:space="preserve">. </w:t>
      </w:r>
    </w:p>
    <w:p w14:paraId="3ABCB819" w14:textId="77777777" w:rsidR="005C2E99" w:rsidRDefault="005C2E99" w:rsidP="00FF5B98">
      <w:pPr>
        <w:rPr>
          <w:rFonts w:cs="Arial"/>
        </w:rPr>
      </w:pPr>
    </w:p>
    <w:p w14:paraId="2441484E" w14:textId="77777777" w:rsidR="00D56829" w:rsidRDefault="00FF5B98" w:rsidP="00FF5B98">
      <w:pPr>
        <w:rPr>
          <w:rFonts w:cs="Arial"/>
        </w:rPr>
      </w:pPr>
      <w:r>
        <w:rPr>
          <w:rFonts w:cs="Arial"/>
        </w:rPr>
        <w:t>A</w:t>
      </w:r>
      <w:r w:rsidR="005C2E99">
        <w:rPr>
          <w:rFonts w:cs="Arial"/>
        </w:rPr>
        <w:t>lso, a</w:t>
      </w:r>
      <w:r w:rsidRPr="00EC32B8">
        <w:rPr>
          <w:rFonts w:cs="Arial"/>
        </w:rPr>
        <w:t xml:space="preserve">mending the Code to </w:t>
      </w:r>
      <w:r>
        <w:rPr>
          <w:rFonts w:cs="Arial"/>
        </w:rPr>
        <w:t xml:space="preserve">approve the enzyme </w:t>
      </w:r>
      <w:r w:rsidR="004D10DA">
        <w:t>t</w:t>
      </w:r>
      <w:r w:rsidR="00016E11">
        <w:t>hermolysin</w:t>
      </w:r>
      <w:r w:rsidRPr="00BB47E2">
        <w:t xml:space="preserve">, sourced from </w:t>
      </w:r>
      <w:r w:rsidR="00915DD4">
        <w:rPr>
          <w:i/>
        </w:rPr>
        <w:t>A. caldiproteolyticus</w:t>
      </w:r>
      <w:r w:rsidR="003677C7">
        <w:t xml:space="preserve"> strain TP-7,</w:t>
      </w:r>
      <w:r w:rsidRPr="00483E92">
        <w:t xml:space="preserve"> as a processing </w:t>
      </w:r>
      <w:r w:rsidR="00C67335" w:rsidRPr="00483E92">
        <w:t xml:space="preserve">aid </w:t>
      </w:r>
      <w:r w:rsidRPr="00483E92">
        <w:rPr>
          <w:rFonts w:cs="Arial"/>
        </w:rPr>
        <w:t xml:space="preserve">is unlikely to have a significant effect on international trade as the enzyme preparation complies with international specifications for food enzymes provided by JECFA </w:t>
      </w:r>
      <w:r w:rsidRPr="00483E92">
        <w:rPr>
          <w:noProof/>
        </w:rPr>
        <w:t>(JECFA, 2006)</w:t>
      </w:r>
      <w:r w:rsidRPr="00483E92">
        <w:t xml:space="preserve"> </w:t>
      </w:r>
      <w:r w:rsidRPr="00483E92">
        <w:rPr>
          <w:rFonts w:cs="Arial"/>
        </w:rPr>
        <w:t>and the Food Chemicals Codex (9</w:t>
      </w:r>
      <w:r w:rsidRPr="00483E92">
        <w:rPr>
          <w:rFonts w:cs="Arial"/>
          <w:vertAlign w:val="superscript"/>
        </w:rPr>
        <w:t>th</w:t>
      </w:r>
      <w:r w:rsidRPr="00483E92">
        <w:rPr>
          <w:rFonts w:cs="Arial"/>
        </w:rPr>
        <w:t xml:space="preserve"> Edition) </w:t>
      </w:r>
      <w:r w:rsidRPr="00483E92">
        <w:t>(Food Chemicals Codex, 2015).</w:t>
      </w:r>
      <w:r w:rsidRPr="00483E92">
        <w:rPr>
          <w:rFonts w:cs="Arial"/>
        </w:rPr>
        <w:t xml:space="preserve"> </w:t>
      </w:r>
    </w:p>
    <w:p w14:paraId="16DAEF03" w14:textId="77777777" w:rsidR="00D56829" w:rsidRDefault="00D56829" w:rsidP="00FF5B98">
      <w:pPr>
        <w:rPr>
          <w:rFonts w:cs="Arial"/>
        </w:rPr>
      </w:pPr>
    </w:p>
    <w:p w14:paraId="0F35BA5F" w14:textId="7B721F49" w:rsidR="00FF5B98" w:rsidRDefault="00FF5B98" w:rsidP="00FF5B98">
      <w:pPr>
        <w:rPr>
          <w:lang w:eastAsia="en-AU" w:bidi="ar-SA"/>
        </w:rPr>
      </w:pPr>
      <w:r w:rsidRPr="00483E92">
        <w:rPr>
          <w:rFonts w:cs="Arial"/>
          <w:iCs/>
        </w:rPr>
        <w:t xml:space="preserve">Therefore, a notification to the WTO under </w:t>
      </w:r>
      <w:r w:rsidRPr="00483E92">
        <w:rPr>
          <w:rFonts w:cs="Arial"/>
        </w:rPr>
        <w:t>Australia’s and New Zealand’s</w:t>
      </w:r>
      <w:r w:rsidRPr="00483E92">
        <w:rPr>
          <w:rFonts w:cs="Arial"/>
          <w:iCs/>
        </w:rPr>
        <w:t xml:space="preserve"> obligations under the</w:t>
      </w:r>
      <w:r w:rsidRPr="00EC32B8">
        <w:rPr>
          <w:rFonts w:cs="Arial"/>
          <w:iCs/>
        </w:rPr>
        <w:t xml:space="preserve"> WTO Technical Barriers to Trade or Application of Sanitary and Phytosanitary Measures Agreement was not considered necessary.</w:t>
      </w:r>
    </w:p>
    <w:p w14:paraId="0BFB16CD" w14:textId="12473560" w:rsidR="006B40A9" w:rsidRPr="00FF5B98" w:rsidRDefault="006B40A9" w:rsidP="00FF5B98">
      <w:pPr>
        <w:rPr>
          <w:rFonts w:cs="Arial"/>
        </w:rPr>
      </w:pPr>
    </w:p>
    <w:p w14:paraId="4E54B961" w14:textId="249F8EEB" w:rsidR="00E520FE" w:rsidRDefault="001A6A1F" w:rsidP="00022DBC">
      <w:pPr>
        <w:pStyle w:val="Heading2"/>
      </w:pPr>
      <w:bookmarkStart w:id="69" w:name="_Toc506454346"/>
      <w:r>
        <w:t>2.4</w:t>
      </w:r>
      <w:r w:rsidR="00022DBC">
        <w:tab/>
        <w:t>FSANZ Act assessment requirements</w:t>
      </w:r>
      <w:bookmarkEnd w:id="69"/>
    </w:p>
    <w:p w14:paraId="23589649" w14:textId="39DD10CB" w:rsidR="00726C2F" w:rsidRPr="0048724A" w:rsidRDefault="00726C2F" w:rsidP="00726C2F">
      <w:r w:rsidRPr="0048724A">
        <w:t>When assessing this A</w:t>
      </w:r>
      <w:r w:rsidR="003F2CDF" w:rsidRPr="0048724A">
        <w:t>pplication</w:t>
      </w:r>
      <w:r w:rsidRPr="0048724A">
        <w:t xml:space="preserve"> and the subsequent development of a food regulatory measure, FSANZ has had regard to the </w:t>
      </w:r>
      <w:r w:rsidRPr="0048724A" w:rsidDel="00932F14">
        <w:t xml:space="preserve">following </w:t>
      </w:r>
      <w:r w:rsidRPr="0048724A">
        <w:t xml:space="preserve">matters in section </w:t>
      </w:r>
      <w:r w:rsidR="003F2CDF" w:rsidRPr="0048724A">
        <w:t>29</w:t>
      </w:r>
      <w:r w:rsidRPr="0048724A">
        <w:t xml:space="preserve"> of the FSANZ Act</w:t>
      </w:r>
      <w:r w:rsidR="009D25D3">
        <w:t>:</w:t>
      </w:r>
    </w:p>
    <w:p w14:paraId="188A230C" w14:textId="3D14FD15" w:rsidR="00726C2F" w:rsidRPr="009D6B10" w:rsidRDefault="001A6A1F" w:rsidP="00726C2F">
      <w:pPr>
        <w:pStyle w:val="Heading3"/>
      </w:pPr>
      <w:bookmarkStart w:id="70" w:name="_Toc506454347"/>
      <w:r w:rsidRPr="009D6B10">
        <w:t>2.4</w:t>
      </w:r>
      <w:r w:rsidR="00726C2F" w:rsidRPr="009D6B10">
        <w:t>.1</w:t>
      </w:r>
      <w:r w:rsidR="00726C2F" w:rsidRPr="009D6B10">
        <w:tab/>
        <w:t>Section 29</w:t>
      </w:r>
      <w:bookmarkEnd w:id="70"/>
    </w:p>
    <w:p w14:paraId="32DFEA0A" w14:textId="248A6A6E" w:rsidR="003F2CDF" w:rsidRDefault="003F2CDF" w:rsidP="009D6B10">
      <w:pPr>
        <w:pStyle w:val="Heading3"/>
        <w:rPr>
          <w:i/>
        </w:rPr>
      </w:pPr>
      <w:bookmarkStart w:id="71" w:name="_Toc506454348"/>
      <w:r w:rsidRPr="009D6B10">
        <w:rPr>
          <w:i/>
        </w:rPr>
        <w:t>2.4.1.1</w:t>
      </w:r>
      <w:r w:rsidRPr="009D6B10">
        <w:rPr>
          <w:i/>
        </w:rPr>
        <w:tab/>
        <w:t>Cost benefit analysis</w:t>
      </w:r>
      <w:bookmarkEnd w:id="71"/>
    </w:p>
    <w:p w14:paraId="39796E1F" w14:textId="77777777" w:rsidR="0032321E" w:rsidRDefault="0032321E" w:rsidP="0032321E">
      <w:pPr>
        <w:pStyle w:val="Heading5"/>
      </w:pPr>
      <w:r>
        <w:t>Objectives for cost benefit consideration</w:t>
      </w:r>
    </w:p>
    <w:p w14:paraId="02827CF9" w14:textId="0156647C" w:rsidR="0032321E" w:rsidRDefault="0032321E" w:rsidP="0032321E">
      <w:pPr>
        <w:rPr>
          <w:bCs/>
        </w:rPr>
      </w:pPr>
      <w:r>
        <w:rPr>
          <w:bCs/>
        </w:rPr>
        <w:t>The objective of this consideration is to determine whether consumers, industry and government are likely to benefit from a change to the status quo by accepting the Application.</w:t>
      </w:r>
    </w:p>
    <w:p w14:paraId="63010A89" w14:textId="77777777" w:rsidR="0032321E" w:rsidRDefault="0032321E" w:rsidP="0032321E">
      <w:pPr>
        <w:rPr>
          <w:bCs/>
        </w:rPr>
      </w:pPr>
    </w:p>
    <w:p w14:paraId="39FE1ED0" w14:textId="398FDC6A" w:rsidR="0032321E" w:rsidRDefault="0032321E" w:rsidP="0032321E">
      <w:pPr>
        <w:rPr>
          <w:bCs/>
        </w:rPr>
      </w:pPr>
      <w:r>
        <w:rPr>
          <w:bCs/>
        </w:rPr>
        <w:t xml:space="preserve">Accepting the application would mean varying schedule 18 to permit the </w:t>
      </w:r>
      <w:r w:rsidR="001D63E9" w:rsidRPr="001D63E9">
        <w:rPr>
          <w:bCs/>
        </w:rPr>
        <w:t xml:space="preserve">use of the enzyme thermolysin, sourced from </w:t>
      </w:r>
      <w:r w:rsidR="001D63E9" w:rsidRPr="008E1A40">
        <w:rPr>
          <w:bCs/>
          <w:i/>
        </w:rPr>
        <w:t xml:space="preserve">A. caldiproteolyticus </w:t>
      </w:r>
      <w:r w:rsidR="001D63E9" w:rsidRPr="001D63E9">
        <w:rPr>
          <w:bCs/>
        </w:rPr>
        <w:t>strain TP-7 as a processing aid</w:t>
      </w:r>
      <w:r w:rsidR="001D63E9">
        <w:rPr>
          <w:bCs/>
        </w:rPr>
        <w:t xml:space="preserve"> in certain foods</w:t>
      </w:r>
      <w:r>
        <w:rPr>
          <w:bCs/>
        </w:rPr>
        <w:t>.</w:t>
      </w:r>
    </w:p>
    <w:p w14:paraId="059E2CF8" w14:textId="4EC3E995" w:rsidR="0032321E" w:rsidRDefault="0032321E" w:rsidP="0032321E">
      <w:pPr>
        <w:rPr>
          <w:bCs/>
        </w:rPr>
      </w:pPr>
      <w:r>
        <w:rPr>
          <w:bCs/>
        </w:rPr>
        <w:lastRenderedPageBreak/>
        <w:t xml:space="preserve">As FSANZ can </w:t>
      </w:r>
      <w:r w:rsidR="007B03BF">
        <w:rPr>
          <w:bCs/>
        </w:rPr>
        <w:t xml:space="preserve">prepare a draft variation </w:t>
      </w:r>
      <w:r>
        <w:rPr>
          <w:bCs/>
        </w:rPr>
        <w:t xml:space="preserve">or reject the Application under </w:t>
      </w:r>
      <w:r w:rsidR="007B03BF">
        <w:rPr>
          <w:bCs/>
        </w:rPr>
        <w:t xml:space="preserve">section 30 </w:t>
      </w:r>
      <w:r>
        <w:rPr>
          <w:bCs/>
        </w:rPr>
        <w:t xml:space="preserve">of the FSANZ Act, </w:t>
      </w:r>
      <w:r w:rsidR="007B03BF">
        <w:rPr>
          <w:bCs/>
        </w:rPr>
        <w:t xml:space="preserve">preparing a draft variation to permit the enzyme’s use as a processing aid </w:t>
      </w:r>
      <w:r>
        <w:rPr>
          <w:bCs/>
        </w:rPr>
        <w:t>is the only proposed measure that has been considered against the status quo (i.e. rejecting the Application).</w:t>
      </w:r>
    </w:p>
    <w:p w14:paraId="202FE3B0" w14:textId="77777777" w:rsidR="0032321E" w:rsidRDefault="0032321E" w:rsidP="0032321E">
      <w:pPr>
        <w:rPr>
          <w:bCs/>
        </w:rPr>
      </w:pPr>
    </w:p>
    <w:p w14:paraId="441701BF" w14:textId="4937003D" w:rsidR="0032321E" w:rsidRDefault="0032321E" w:rsidP="0032321E">
      <w:pPr>
        <w:rPr>
          <w:bCs/>
        </w:rPr>
      </w:pPr>
      <w:r>
        <w:rPr>
          <w:bCs/>
        </w:rPr>
        <w:t>FSANZ can conclude there is no other practical food regulatory measure aside from accepting or remaining with the status quo (i.e. rejecting the application).</w:t>
      </w:r>
    </w:p>
    <w:p w14:paraId="41AAD6D3" w14:textId="77777777" w:rsidR="0032321E" w:rsidRPr="00E02229" w:rsidRDefault="0032321E" w:rsidP="0032321E">
      <w:pPr>
        <w:pStyle w:val="Heading5"/>
      </w:pPr>
      <w:r>
        <w:t>Standing exemption from FSANZ completing a regulatory impact statement</w:t>
      </w:r>
    </w:p>
    <w:p w14:paraId="52003FB5" w14:textId="77777777" w:rsidR="0032321E" w:rsidRDefault="0032321E" w:rsidP="0032321E">
      <w:pPr>
        <w:rPr>
          <w:bCs/>
        </w:rPr>
      </w:pPr>
      <w:r w:rsidRPr="00825510">
        <w:rPr>
          <w:bCs/>
        </w:rPr>
        <w:t xml:space="preserve">The Office of Best Practice Regulation (OBPR) granted FSANZ a standing exemption from </w:t>
      </w:r>
      <w:r>
        <w:rPr>
          <w:bCs/>
        </w:rPr>
        <w:t>the requirement</w:t>
      </w:r>
      <w:r w:rsidRPr="00825510">
        <w:rPr>
          <w:bCs/>
        </w:rPr>
        <w:t xml:space="preserve"> to develop a Regulatory Impact Statement for the approval of additional processing aids</w:t>
      </w:r>
      <w:r>
        <w:rPr>
          <w:bCs/>
        </w:rPr>
        <w:t xml:space="preserve">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6E98E189" w14:textId="77777777" w:rsidR="0032321E" w:rsidRDefault="0032321E" w:rsidP="0032321E">
      <w:pPr>
        <w:rPr>
          <w:rFonts w:cs="Arial"/>
        </w:rPr>
      </w:pPr>
    </w:p>
    <w:p w14:paraId="6D21CD75" w14:textId="11EA70D0" w:rsidR="0032321E" w:rsidRPr="000813D7" w:rsidRDefault="0032321E" w:rsidP="000813D7">
      <w:pPr>
        <w:rPr>
          <w:rFonts w:cs="Arial"/>
        </w:rPr>
      </w:pPr>
      <w:r>
        <w:rPr>
          <w:rFonts w:cs="Arial"/>
        </w:rPr>
        <w:t xml:space="preserve">Despite that exemption, the FSANZ Act requires </w:t>
      </w:r>
      <w:r w:rsidRPr="004335DC">
        <w:rPr>
          <w:rFonts w:cs="Arial"/>
        </w:rPr>
        <w:t xml:space="preserve">FSANZ to </w:t>
      </w:r>
      <w:r>
        <w:rPr>
          <w:rFonts w:cs="Arial"/>
        </w:rPr>
        <w:t>consider</w:t>
      </w:r>
      <w:r w:rsidRPr="004335DC">
        <w:rPr>
          <w:rFonts w:cs="Arial"/>
        </w:rPr>
        <w:t xml:space="preserve"> </w:t>
      </w:r>
      <w:r>
        <w:rPr>
          <w:szCs w:val="22"/>
        </w:rPr>
        <w:t>whether costs that would arise from the proposed measure outweigh the direct and indirect benefits to the consumers, government or industry (</w:t>
      </w:r>
      <w:r w:rsidR="00277401">
        <w:rPr>
          <w:szCs w:val="22"/>
        </w:rPr>
        <w:t xml:space="preserve">section </w:t>
      </w:r>
      <w:r>
        <w:rPr>
          <w:szCs w:val="22"/>
        </w:rPr>
        <w:t>29(2)(a)</w:t>
      </w:r>
      <w:r w:rsidR="00277401">
        <w:rPr>
          <w:szCs w:val="22"/>
        </w:rPr>
        <w:t>)</w:t>
      </w:r>
      <w:r>
        <w:rPr>
          <w:szCs w:val="22"/>
        </w:rPr>
        <w:t>.</w:t>
      </w:r>
      <w:r w:rsidR="00C44CE6">
        <w:rPr>
          <w:szCs w:val="22"/>
        </w:rPr>
        <w:t xml:space="preserve"> </w:t>
      </w:r>
      <w:r>
        <w:rPr>
          <w:szCs w:val="22"/>
        </w:rPr>
        <w:t>FSANZ is also required to consider whether other measures (available to the Authority or not) would be more cost-effective than a food regulatory measure developed or varied as a result of the application (s</w:t>
      </w:r>
      <w:r w:rsidR="00277401">
        <w:rPr>
          <w:szCs w:val="22"/>
        </w:rPr>
        <w:t xml:space="preserve">ection </w:t>
      </w:r>
      <w:r>
        <w:rPr>
          <w:szCs w:val="22"/>
        </w:rPr>
        <w:t>29(2)(c)</w:t>
      </w:r>
      <w:r w:rsidR="00277401">
        <w:rPr>
          <w:szCs w:val="22"/>
        </w:rPr>
        <w:t>)</w:t>
      </w:r>
      <w:r>
        <w:rPr>
          <w:szCs w:val="22"/>
        </w:rPr>
        <w:t xml:space="preserve">. </w:t>
      </w:r>
    </w:p>
    <w:p w14:paraId="2E0C4B9F" w14:textId="77777777" w:rsidR="001D63E9" w:rsidRPr="0046458A" w:rsidRDefault="001D63E9" w:rsidP="001D63E9">
      <w:pPr>
        <w:pStyle w:val="Heading5"/>
      </w:pPr>
      <w:r>
        <w:t>Costs and benefits</w:t>
      </w:r>
    </w:p>
    <w:p w14:paraId="28BDCD95" w14:textId="3B5D006D" w:rsidR="001D63E9" w:rsidRDefault="001D63E9" w:rsidP="001D63E9">
      <w:pPr>
        <w:rPr>
          <w:szCs w:val="22"/>
        </w:rPr>
      </w:pPr>
      <w:r>
        <w:t>The</w:t>
      </w:r>
      <w:r w:rsidRPr="004335DC">
        <w:t xml:space="preserve"> consideration of the costs and benefits </w:t>
      </w:r>
      <w:r>
        <w:t>is</w:t>
      </w:r>
      <w:r w:rsidRPr="004335DC">
        <w:rPr>
          <w:szCs w:val="22"/>
        </w:rPr>
        <w:t xml:space="preserve"> not intended to be an exhaustive, quantitative economic analysis of the </w:t>
      </w:r>
      <w:r>
        <w:rPr>
          <w:szCs w:val="22"/>
        </w:rPr>
        <w:t>proposed measures. The</w:t>
      </w:r>
      <w:r w:rsidRPr="004335DC">
        <w:rPr>
          <w:szCs w:val="22"/>
        </w:rPr>
        <w:t xml:space="preserve"> </w:t>
      </w:r>
      <w:r>
        <w:rPr>
          <w:szCs w:val="22"/>
        </w:rPr>
        <w:t>considerations/</w:t>
      </w:r>
      <w:r w:rsidRPr="004335DC">
        <w:rPr>
          <w:szCs w:val="22"/>
        </w:rPr>
        <w:t xml:space="preserve">assessment </w:t>
      </w:r>
      <w:r>
        <w:rPr>
          <w:szCs w:val="22"/>
        </w:rPr>
        <w:t>sought</w:t>
      </w:r>
      <w:r w:rsidRPr="004335DC">
        <w:rPr>
          <w:szCs w:val="22"/>
        </w:rPr>
        <w:t xml:space="preserve"> to highlight the </w:t>
      </w:r>
      <w:r>
        <w:rPr>
          <w:szCs w:val="22"/>
        </w:rPr>
        <w:t>likely benefits and costs of changing from the status quo by accepting the Application.</w:t>
      </w:r>
    </w:p>
    <w:p w14:paraId="14849729" w14:textId="0C63791E" w:rsidR="000F40FC" w:rsidRDefault="000F40FC" w:rsidP="001D63E9">
      <w:pPr>
        <w:rPr>
          <w:szCs w:val="22"/>
        </w:rPr>
      </w:pPr>
      <w:r>
        <w:rPr>
          <w:szCs w:val="22"/>
        </w:rPr>
        <w:br w:type="page"/>
      </w:r>
    </w:p>
    <w:p w14:paraId="3DA7C50E" w14:textId="77777777" w:rsidR="001D63E9" w:rsidRPr="001B32D0" w:rsidRDefault="001D63E9" w:rsidP="001D63E9">
      <w:pPr>
        <w:pStyle w:val="FSTableTitle"/>
        <w:rPr>
          <w:lang w:bidi="ar-SA"/>
        </w:rPr>
      </w:pPr>
      <w:r>
        <w:rPr>
          <w:lang w:bidi="ar-SA"/>
        </w:rPr>
        <w:lastRenderedPageBreak/>
        <w:t>Table 1 Proposed food regulatory measure – accept the Application</w:t>
      </w:r>
    </w:p>
    <w:tbl>
      <w:tblPr>
        <w:tblStyle w:val="TableGrid1"/>
        <w:tblW w:w="0" w:type="auto"/>
        <w:tblLook w:val="04A0" w:firstRow="1" w:lastRow="0" w:firstColumn="1" w:lastColumn="0" w:noHBand="0" w:noVBand="1"/>
        <w:tblDescription w:val="Table 1 includes costs and benefits for consumers, industry and governments for accepting the application. Column 1 lists the 3 sectors - consumers, industry and governments. Column 2 lists the association costs and benefits for each of the 3 sectors."/>
      </w:tblPr>
      <w:tblGrid>
        <w:gridCol w:w="1417"/>
        <w:gridCol w:w="7869"/>
      </w:tblGrid>
      <w:tr w:rsidR="001D63E9" w:rsidRPr="00690683" w14:paraId="643CE44E" w14:textId="77777777" w:rsidTr="000F40FC">
        <w:trPr>
          <w:tblHeader/>
        </w:trPr>
        <w:tc>
          <w:tcPr>
            <w:tcW w:w="0" w:type="auto"/>
            <w:shd w:val="clear" w:color="auto" w:fill="C2D69B" w:themeFill="accent3" w:themeFillTint="99"/>
          </w:tcPr>
          <w:p w14:paraId="683F76A9" w14:textId="77777777" w:rsidR="001D63E9" w:rsidRPr="00B92CE2" w:rsidRDefault="001D63E9" w:rsidP="000F40FC">
            <w:pPr>
              <w:keepNext/>
              <w:keepLines/>
              <w:spacing w:before="120" w:after="120"/>
              <w:rPr>
                <w:rFonts w:cs="Arial"/>
                <w:b/>
                <w:sz w:val="20"/>
                <w:szCs w:val="20"/>
              </w:rPr>
            </w:pPr>
            <w:r w:rsidRPr="00B92CE2">
              <w:rPr>
                <w:rFonts w:cs="Arial"/>
                <w:b/>
                <w:sz w:val="20"/>
                <w:szCs w:val="20"/>
              </w:rPr>
              <w:t>Sector</w:t>
            </w:r>
          </w:p>
        </w:tc>
        <w:tc>
          <w:tcPr>
            <w:tcW w:w="0" w:type="auto"/>
            <w:shd w:val="clear" w:color="auto" w:fill="C2D69B" w:themeFill="accent3" w:themeFillTint="99"/>
          </w:tcPr>
          <w:p w14:paraId="65B823A8" w14:textId="77777777" w:rsidR="001D63E9" w:rsidRPr="00B92CE2" w:rsidRDefault="001D63E9" w:rsidP="000F40FC">
            <w:pPr>
              <w:keepNext/>
              <w:keepLines/>
              <w:spacing w:before="120" w:after="120"/>
              <w:rPr>
                <w:rFonts w:cs="Arial"/>
                <w:b/>
                <w:sz w:val="20"/>
                <w:szCs w:val="20"/>
              </w:rPr>
            </w:pPr>
            <w:r w:rsidRPr="00B92CE2">
              <w:rPr>
                <w:rFonts w:cs="Arial"/>
                <w:b/>
                <w:sz w:val="20"/>
                <w:szCs w:val="20"/>
              </w:rPr>
              <w:t>Costs or benefits to sector</w:t>
            </w:r>
          </w:p>
        </w:tc>
      </w:tr>
      <w:tr w:rsidR="001D63E9" w:rsidRPr="004335DC" w14:paraId="41FF9F0D" w14:textId="77777777" w:rsidTr="000F40FC">
        <w:tc>
          <w:tcPr>
            <w:tcW w:w="0" w:type="auto"/>
          </w:tcPr>
          <w:p w14:paraId="0F0F8358" w14:textId="77777777" w:rsidR="001D63E9" w:rsidRPr="00B92CE2" w:rsidRDefault="001D63E9" w:rsidP="000F40FC">
            <w:pPr>
              <w:spacing w:before="120" w:after="120"/>
              <w:rPr>
                <w:sz w:val="20"/>
                <w:szCs w:val="20"/>
              </w:rPr>
            </w:pPr>
            <w:r w:rsidRPr="00B92CE2">
              <w:rPr>
                <w:sz w:val="20"/>
                <w:szCs w:val="20"/>
              </w:rPr>
              <w:t>Consumers</w:t>
            </w:r>
          </w:p>
        </w:tc>
        <w:tc>
          <w:tcPr>
            <w:tcW w:w="0" w:type="auto"/>
          </w:tcPr>
          <w:p w14:paraId="423CC47C" w14:textId="52C2D414" w:rsidR="00D52F69" w:rsidRDefault="00D52F69" w:rsidP="00D52F69">
            <w:pPr>
              <w:keepNext/>
              <w:keepLines/>
              <w:spacing w:before="120" w:after="120"/>
              <w:rPr>
                <w:sz w:val="20"/>
                <w:szCs w:val="20"/>
              </w:rPr>
            </w:pPr>
            <w:r w:rsidRPr="00CB147C">
              <w:rPr>
                <w:sz w:val="20"/>
                <w:szCs w:val="20"/>
              </w:rPr>
              <w:t xml:space="preserve">The use of the enzyme as a processing aid in the manner proposed will not pose a health or safety risk for consumers. Consumers may benefit from the choice of additional </w:t>
            </w:r>
            <w:r>
              <w:rPr>
                <w:sz w:val="20"/>
                <w:szCs w:val="20"/>
              </w:rPr>
              <w:t xml:space="preserve">(and better quality) </w:t>
            </w:r>
            <w:r w:rsidRPr="00CB147C">
              <w:rPr>
                <w:sz w:val="20"/>
                <w:szCs w:val="20"/>
              </w:rPr>
              <w:t xml:space="preserve">food products that become available due to the use of </w:t>
            </w:r>
            <w:r>
              <w:rPr>
                <w:sz w:val="20"/>
                <w:szCs w:val="20"/>
              </w:rPr>
              <w:t xml:space="preserve">the </w:t>
            </w:r>
            <w:r w:rsidRPr="00CB147C">
              <w:rPr>
                <w:sz w:val="20"/>
                <w:szCs w:val="20"/>
              </w:rPr>
              <w:t>enzyme by Australian and New Zealand manufacturers and access to products manufactured using enzyme that are currently manufactured overseas.</w:t>
            </w:r>
          </w:p>
          <w:p w14:paraId="4E6CE0F9" w14:textId="5949048D" w:rsidR="001D63E9" w:rsidRPr="006C4094" w:rsidRDefault="00D52F69" w:rsidP="000F40FC">
            <w:pPr>
              <w:keepNext/>
              <w:keepLines/>
              <w:spacing w:before="120" w:after="120"/>
              <w:rPr>
                <w:sz w:val="20"/>
                <w:szCs w:val="20"/>
              </w:rPr>
            </w:pPr>
            <w:r>
              <w:rPr>
                <w:sz w:val="20"/>
                <w:szCs w:val="20"/>
              </w:rPr>
              <w:t>Prices for products the enzyme is used in may be reduced.</w:t>
            </w:r>
          </w:p>
        </w:tc>
      </w:tr>
      <w:tr w:rsidR="001D63E9" w:rsidRPr="004335DC" w14:paraId="55153473" w14:textId="77777777" w:rsidTr="000F40FC">
        <w:trPr>
          <w:trHeight w:val="629"/>
        </w:trPr>
        <w:tc>
          <w:tcPr>
            <w:tcW w:w="0" w:type="auto"/>
          </w:tcPr>
          <w:p w14:paraId="06859376" w14:textId="77777777" w:rsidR="001D63E9" w:rsidRPr="00B92CE2" w:rsidRDefault="001D63E9" w:rsidP="000F40FC">
            <w:pPr>
              <w:spacing w:before="120" w:after="120"/>
              <w:rPr>
                <w:sz w:val="20"/>
                <w:szCs w:val="20"/>
              </w:rPr>
            </w:pPr>
            <w:r w:rsidRPr="00B92CE2">
              <w:rPr>
                <w:sz w:val="20"/>
                <w:szCs w:val="20"/>
              </w:rPr>
              <w:t>Industry</w:t>
            </w:r>
          </w:p>
        </w:tc>
        <w:tc>
          <w:tcPr>
            <w:tcW w:w="0" w:type="auto"/>
          </w:tcPr>
          <w:p w14:paraId="4D76D242" w14:textId="7B62B7C8" w:rsidR="001D63E9" w:rsidRDefault="008E1A40" w:rsidP="008E1A40">
            <w:pPr>
              <w:spacing w:before="120" w:after="120"/>
            </w:pPr>
            <w:r w:rsidRPr="008E1A40">
              <w:rPr>
                <w:sz w:val="20"/>
                <w:szCs w:val="20"/>
                <w:lang w:val="en-NZ"/>
              </w:rPr>
              <w:t xml:space="preserve">Thermolysin improves textural and physiochemical (foamability, emulsification, heat stability, viscosity) </w:t>
            </w:r>
            <w:r w:rsidR="00804244" w:rsidRPr="00804244">
              <w:rPr>
                <w:sz w:val="20"/>
                <w:szCs w:val="20"/>
                <w:lang w:val="en-NZ"/>
              </w:rPr>
              <w:t>and</w:t>
            </w:r>
            <w:r w:rsidR="00804244" w:rsidRPr="008E1A40">
              <w:rPr>
                <w:sz w:val="20"/>
                <w:szCs w:val="20"/>
                <w:lang w:val="en-NZ"/>
              </w:rPr>
              <w:t xml:space="preserve"> </w:t>
            </w:r>
            <w:r w:rsidRPr="008E1A40">
              <w:rPr>
                <w:sz w:val="20"/>
                <w:szCs w:val="20"/>
                <w:lang w:val="en-NZ"/>
              </w:rPr>
              <w:t>organoleptic (taste and flavour</w:t>
            </w:r>
            <w:r w:rsidRPr="00804244">
              <w:rPr>
                <w:sz w:val="20"/>
                <w:szCs w:val="20"/>
                <w:lang w:val="en-NZ"/>
              </w:rPr>
              <w:t xml:space="preserve">) properties of foods. </w:t>
            </w:r>
            <w:r w:rsidRPr="00804244">
              <w:rPr>
                <w:sz w:val="20"/>
                <w:szCs w:val="20"/>
              </w:rPr>
              <w:t>This</w:t>
            </w:r>
            <w:r w:rsidRPr="00804244">
              <w:t xml:space="preserve"> </w:t>
            </w:r>
            <w:r w:rsidR="001D63E9" w:rsidRPr="00804244">
              <w:rPr>
                <w:sz w:val="20"/>
                <w:szCs w:val="20"/>
              </w:rPr>
              <w:t xml:space="preserve">can provide a </w:t>
            </w:r>
            <w:r w:rsidR="00804244">
              <w:rPr>
                <w:sz w:val="20"/>
                <w:szCs w:val="20"/>
              </w:rPr>
              <w:t>b</w:t>
            </w:r>
            <w:r w:rsidR="001D63E9" w:rsidRPr="00804244">
              <w:rPr>
                <w:sz w:val="20"/>
                <w:szCs w:val="20"/>
              </w:rPr>
              <w:t>enefit</w:t>
            </w:r>
            <w:r w:rsidR="001D63E9">
              <w:rPr>
                <w:sz w:val="20"/>
                <w:szCs w:val="20"/>
              </w:rPr>
              <w:t xml:space="preserve"> in terms of product and/or competitive advantage</w:t>
            </w:r>
            <w:r w:rsidR="00804244">
              <w:rPr>
                <w:sz w:val="20"/>
                <w:szCs w:val="20"/>
              </w:rPr>
              <w:t>,</w:t>
            </w:r>
            <w:r w:rsidR="001D63E9">
              <w:rPr>
                <w:sz w:val="20"/>
                <w:szCs w:val="20"/>
              </w:rPr>
              <w:t xml:space="preserve"> to</w:t>
            </w:r>
            <w:r w:rsidR="001D63E9" w:rsidRPr="00B92CE2">
              <w:rPr>
                <w:sz w:val="20"/>
                <w:szCs w:val="20"/>
              </w:rPr>
              <w:t xml:space="preserve"> food manufacturers</w:t>
            </w:r>
            <w:r w:rsidR="001D63E9">
              <w:t xml:space="preserve">. </w:t>
            </w:r>
          </w:p>
          <w:p w14:paraId="626D1740" w14:textId="7B9B7D67" w:rsidR="001D63E9" w:rsidRDefault="001D63E9" w:rsidP="000F40FC">
            <w:pPr>
              <w:rPr>
                <w:sz w:val="20"/>
                <w:szCs w:val="20"/>
              </w:rPr>
            </w:pPr>
            <w:r w:rsidRPr="00CB147C">
              <w:rPr>
                <w:sz w:val="20"/>
                <w:szCs w:val="20"/>
              </w:rPr>
              <w:t xml:space="preserve">The enzyme has already been permitted for use </w:t>
            </w:r>
            <w:r w:rsidR="006E4D67">
              <w:rPr>
                <w:sz w:val="20"/>
                <w:szCs w:val="20"/>
              </w:rPr>
              <w:t>in France</w:t>
            </w:r>
            <w:r>
              <w:rPr>
                <w:sz w:val="20"/>
                <w:szCs w:val="20"/>
              </w:rPr>
              <w:t>. P</w:t>
            </w:r>
            <w:r w:rsidRPr="00CB147C">
              <w:rPr>
                <w:sz w:val="20"/>
                <w:szCs w:val="20"/>
              </w:rPr>
              <w:t xml:space="preserve">ermission to use the enzyme as a processing aid </w:t>
            </w:r>
            <w:r>
              <w:rPr>
                <w:sz w:val="20"/>
                <w:szCs w:val="20"/>
              </w:rPr>
              <w:t xml:space="preserve">will enable </w:t>
            </w:r>
            <w:r w:rsidRPr="00CB147C">
              <w:rPr>
                <w:sz w:val="20"/>
                <w:szCs w:val="20"/>
              </w:rPr>
              <w:t xml:space="preserve">Australia/New Zealand food manufacturers to access and use a product assessed as safe that is available to their overseas competitors. </w:t>
            </w:r>
            <w:r>
              <w:rPr>
                <w:sz w:val="20"/>
                <w:szCs w:val="20"/>
              </w:rPr>
              <w:t xml:space="preserve">This will improve their capacity to compete in overseas markets. This will be offset to some extent by a wider variety of enzymes for </w:t>
            </w:r>
            <w:r w:rsidRPr="00CB147C">
              <w:rPr>
                <w:sz w:val="20"/>
                <w:szCs w:val="20"/>
              </w:rPr>
              <w:t>Australia/New Zealand food manufacturers</w:t>
            </w:r>
            <w:r>
              <w:rPr>
                <w:sz w:val="20"/>
                <w:szCs w:val="20"/>
              </w:rPr>
              <w:t>.</w:t>
            </w:r>
          </w:p>
          <w:p w14:paraId="0E21D3F6" w14:textId="77777777" w:rsidR="001D63E9" w:rsidRDefault="001D63E9" w:rsidP="000F40FC">
            <w:pPr>
              <w:rPr>
                <w:sz w:val="20"/>
                <w:szCs w:val="20"/>
              </w:rPr>
            </w:pPr>
          </w:p>
          <w:p w14:paraId="42CD3273" w14:textId="77777777" w:rsidR="001D63E9" w:rsidRPr="00B92CE2" w:rsidRDefault="001D63E9" w:rsidP="000F40FC">
            <w:pPr>
              <w:rPr>
                <w:sz w:val="20"/>
                <w:szCs w:val="20"/>
              </w:rPr>
            </w:pPr>
            <w:r>
              <w:rPr>
                <w:rFonts w:cs="Arial"/>
                <w:sz w:val="20"/>
                <w:szCs w:val="20"/>
              </w:rPr>
              <w:t>U</w:t>
            </w:r>
            <w:r w:rsidRPr="00CB147C">
              <w:rPr>
                <w:rFonts w:cs="Arial"/>
                <w:sz w:val="20"/>
                <w:szCs w:val="20"/>
              </w:rPr>
              <w:t>se by industry is voluntary, therefore it will only be used where industry believe a net benefit exists above using existing manufacturing processes</w:t>
            </w:r>
            <w:r w:rsidRPr="00CB147C" w:rsidDel="00E75156">
              <w:rPr>
                <w:sz w:val="20"/>
                <w:szCs w:val="20"/>
              </w:rPr>
              <w:t>.</w:t>
            </w:r>
          </w:p>
        </w:tc>
      </w:tr>
      <w:tr w:rsidR="001D63E9" w:rsidRPr="004335DC" w14:paraId="051A3B7A" w14:textId="77777777" w:rsidTr="000F40FC">
        <w:tc>
          <w:tcPr>
            <w:tcW w:w="0" w:type="auto"/>
          </w:tcPr>
          <w:p w14:paraId="298A1557" w14:textId="77777777" w:rsidR="001D63E9" w:rsidRPr="00B92CE2" w:rsidRDefault="001D63E9" w:rsidP="000F40FC">
            <w:pPr>
              <w:spacing w:before="120" w:after="120"/>
              <w:rPr>
                <w:sz w:val="20"/>
                <w:szCs w:val="20"/>
              </w:rPr>
            </w:pPr>
            <w:r w:rsidRPr="00B92CE2">
              <w:rPr>
                <w:sz w:val="20"/>
                <w:szCs w:val="20"/>
              </w:rPr>
              <w:t>Governments</w:t>
            </w:r>
          </w:p>
        </w:tc>
        <w:tc>
          <w:tcPr>
            <w:tcW w:w="0" w:type="auto"/>
          </w:tcPr>
          <w:p w14:paraId="31618439" w14:textId="77777777" w:rsidR="001D63E9" w:rsidRPr="00E04B34" w:rsidRDefault="001D63E9" w:rsidP="000F40FC">
            <w:pPr>
              <w:keepNext/>
              <w:keepLines/>
              <w:spacing w:before="120" w:after="120"/>
              <w:rPr>
                <w:sz w:val="20"/>
                <w:szCs w:val="20"/>
              </w:rPr>
            </w:pPr>
            <w:r w:rsidRPr="005C5E07">
              <w:rPr>
                <w:sz w:val="20"/>
                <w:szCs w:val="20"/>
              </w:rPr>
              <w:t xml:space="preserve">There </w:t>
            </w:r>
            <w:r w:rsidRPr="00E04B34">
              <w:rPr>
                <w:sz w:val="20"/>
                <w:szCs w:val="20"/>
              </w:rPr>
              <w:t xml:space="preserve">may be </w:t>
            </w:r>
            <w:r>
              <w:rPr>
                <w:sz w:val="20"/>
                <w:szCs w:val="20"/>
              </w:rPr>
              <w:t>some</w:t>
            </w:r>
            <w:r w:rsidRPr="00E04B34">
              <w:rPr>
                <w:sz w:val="20"/>
                <w:szCs w:val="20"/>
              </w:rPr>
              <w:t xml:space="preserve"> </w:t>
            </w:r>
            <w:r>
              <w:rPr>
                <w:sz w:val="20"/>
                <w:szCs w:val="20"/>
              </w:rPr>
              <w:t xml:space="preserve">costs </w:t>
            </w:r>
            <w:r w:rsidRPr="00E04B34">
              <w:rPr>
                <w:sz w:val="20"/>
                <w:szCs w:val="20"/>
              </w:rPr>
              <w:t>to government in terms of monitoring and compliance</w:t>
            </w:r>
            <w:r>
              <w:rPr>
                <w:sz w:val="20"/>
                <w:szCs w:val="20"/>
              </w:rPr>
              <w:t xml:space="preserve"> in that regulators will need to be made aware this is now a permitted processing aid - enzyme</w:t>
            </w:r>
            <w:r w:rsidRPr="00E04B34">
              <w:rPr>
                <w:sz w:val="20"/>
                <w:szCs w:val="20"/>
              </w:rPr>
              <w:t>. There are no other costs or benefits to governments associated with this option.</w:t>
            </w:r>
          </w:p>
        </w:tc>
      </w:tr>
    </w:tbl>
    <w:p w14:paraId="5A6876B5" w14:textId="77777777" w:rsidR="001D63E9" w:rsidRDefault="001D63E9" w:rsidP="001D63E9">
      <w:pPr>
        <w:pStyle w:val="Heading5"/>
      </w:pPr>
      <w:r w:rsidRPr="00FC4551">
        <w:t>Conclusions</w:t>
      </w:r>
      <w:r>
        <w:t xml:space="preserve"> from cost benefit considerations</w:t>
      </w:r>
    </w:p>
    <w:p w14:paraId="74CD3970" w14:textId="2B234DB8" w:rsidR="001D63E9" w:rsidRDefault="001D63E9" w:rsidP="001D63E9">
      <w:pPr>
        <w:rPr>
          <w:bCs/>
        </w:rPr>
      </w:pPr>
      <w:r>
        <w:rPr>
          <w:bCs/>
        </w:rPr>
        <w:t>The</w:t>
      </w:r>
      <w:r>
        <w:t xml:space="preserve"> direct and indirect benefits </w:t>
      </w:r>
      <w:r w:rsidRPr="00914030">
        <w:t xml:space="preserve">that would arise from </w:t>
      </w:r>
      <w:r w:rsidRPr="00825510">
        <w:t xml:space="preserve">permitting the use of </w:t>
      </w:r>
      <w:r>
        <w:t>this particular enzyme</w:t>
      </w:r>
      <w:r w:rsidRPr="00825510">
        <w:t xml:space="preserve"> as a processing aid</w:t>
      </w:r>
      <w:r w:rsidRPr="00F76827">
        <w:t xml:space="preserve"> </w:t>
      </w:r>
      <w:r>
        <w:t xml:space="preserve">most likely </w:t>
      </w:r>
      <w:r w:rsidRPr="00914030">
        <w:t xml:space="preserve">outweigh the </w:t>
      </w:r>
      <w:r>
        <w:t>costs</w:t>
      </w:r>
      <w:r w:rsidRPr="00914030">
        <w:t xml:space="preserve"> </w:t>
      </w:r>
      <w:r>
        <w:t>arising</w:t>
      </w:r>
      <w:r w:rsidRPr="00914030">
        <w:t xml:space="preserve"> from </w:t>
      </w:r>
      <w:r>
        <w:t>that permission being granted.</w:t>
      </w:r>
    </w:p>
    <w:p w14:paraId="0236C2E1" w14:textId="77777777" w:rsidR="003F2CDF" w:rsidRPr="009D6B10" w:rsidRDefault="003F2CDF" w:rsidP="009D6B10">
      <w:pPr>
        <w:pStyle w:val="Heading3"/>
        <w:rPr>
          <w:i/>
        </w:rPr>
      </w:pPr>
      <w:bookmarkStart w:id="72" w:name="_Toc506454349"/>
      <w:r w:rsidRPr="009D6B10">
        <w:rPr>
          <w:i/>
        </w:rPr>
        <w:t>2.4.1.2</w:t>
      </w:r>
      <w:r w:rsidRPr="009D6B10">
        <w:rPr>
          <w:i/>
        </w:rPr>
        <w:tab/>
        <w:t>Other measures</w:t>
      </w:r>
      <w:bookmarkEnd w:id="72"/>
    </w:p>
    <w:p w14:paraId="3130EE1F" w14:textId="6A4D5CE0" w:rsidR="00D52F69" w:rsidRPr="005A4612" w:rsidRDefault="00D52F69" w:rsidP="00D52F69">
      <w:r>
        <w:t>FSANZ considers that there are no</w:t>
      </w:r>
      <w:r w:rsidRPr="007F7BF7">
        <w:t xml:space="preserve"> other measures </w:t>
      </w:r>
      <w:r>
        <w:t xml:space="preserve">(whether available to FSANZ or not) that </w:t>
      </w:r>
      <w:r w:rsidRPr="007F7BF7">
        <w:t>would</w:t>
      </w:r>
      <w:r>
        <w:t xml:space="preserve"> be more cost-effective than a food regulatory measure developed as a result of this </w:t>
      </w:r>
      <w:r w:rsidRPr="00503629">
        <w:t>Application</w:t>
      </w:r>
      <w:r w:rsidRPr="005A4612">
        <w:t>.</w:t>
      </w:r>
      <w:r w:rsidR="00924C44">
        <w:t xml:space="preserve"> See discussion above.</w:t>
      </w:r>
    </w:p>
    <w:p w14:paraId="2CA4EBBD" w14:textId="3F5F18BD" w:rsidR="00726C2F" w:rsidRPr="009D6B10" w:rsidRDefault="001A6A1F" w:rsidP="009D6B10">
      <w:pPr>
        <w:pStyle w:val="Heading3"/>
        <w:rPr>
          <w:i/>
        </w:rPr>
      </w:pPr>
      <w:bookmarkStart w:id="73" w:name="_Toc506454350"/>
      <w:r w:rsidRPr="009D6B10">
        <w:rPr>
          <w:i/>
        </w:rPr>
        <w:t>2.4</w:t>
      </w:r>
      <w:r w:rsidR="008B0075" w:rsidRPr="009D6B10">
        <w:rPr>
          <w:i/>
        </w:rPr>
        <w:t>.1.3</w:t>
      </w:r>
      <w:r w:rsidR="008B0075" w:rsidRPr="009D6B10">
        <w:rPr>
          <w:i/>
        </w:rPr>
        <w:tab/>
        <w:t>A</w:t>
      </w:r>
      <w:r w:rsidR="00726C2F" w:rsidRPr="009D6B10">
        <w:rPr>
          <w:i/>
        </w:rPr>
        <w:t>ny relevant New Zealand standards</w:t>
      </w:r>
      <w:bookmarkEnd w:id="73"/>
    </w:p>
    <w:p w14:paraId="4DF486DA" w14:textId="4A89DA5B" w:rsidR="008B0075" w:rsidRPr="00F70F5D" w:rsidRDefault="00EF5658" w:rsidP="008B0075">
      <w:pPr>
        <w:rPr>
          <w:lang w:bidi="ar-SA"/>
        </w:rPr>
      </w:pPr>
      <w:r>
        <w:rPr>
          <w:lang w:bidi="ar-SA"/>
        </w:rPr>
        <w:t xml:space="preserve">Standards 1.1.1 and 1.3.3; and Schedule 18 from the Code apply in both Australia and New Zealand. </w:t>
      </w:r>
      <w:r w:rsidR="008B0075" w:rsidRPr="00F70F5D">
        <w:rPr>
          <w:lang w:bidi="ar-SA"/>
        </w:rPr>
        <w:t xml:space="preserve">There are no relevant New Zealand </w:t>
      </w:r>
      <w:r w:rsidR="007045BA">
        <w:rPr>
          <w:lang w:bidi="ar-SA"/>
        </w:rPr>
        <w:t xml:space="preserve">only </w:t>
      </w:r>
      <w:r w:rsidR="008B0075" w:rsidRPr="00F70F5D">
        <w:rPr>
          <w:lang w:bidi="ar-SA"/>
        </w:rPr>
        <w:t>Standards.</w:t>
      </w:r>
    </w:p>
    <w:p w14:paraId="38E64731" w14:textId="7E8662E5" w:rsidR="00726C2F" w:rsidRPr="009D6B10" w:rsidRDefault="001A6A1F" w:rsidP="009D6B10">
      <w:pPr>
        <w:pStyle w:val="Heading3"/>
        <w:rPr>
          <w:i/>
        </w:rPr>
      </w:pPr>
      <w:bookmarkStart w:id="74" w:name="_Toc506454351"/>
      <w:r w:rsidRPr="009D6B10">
        <w:rPr>
          <w:i/>
        </w:rPr>
        <w:t>2.4</w:t>
      </w:r>
      <w:r w:rsidR="00BE3818" w:rsidRPr="009D6B10">
        <w:rPr>
          <w:i/>
        </w:rPr>
        <w:t>.1.4</w:t>
      </w:r>
      <w:r w:rsidR="00BE3818" w:rsidRPr="009D6B10">
        <w:rPr>
          <w:i/>
        </w:rPr>
        <w:tab/>
      </w:r>
      <w:r w:rsidR="0027513D" w:rsidRPr="009D6B10">
        <w:rPr>
          <w:i/>
        </w:rPr>
        <w:t>A</w:t>
      </w:r>
      <w:r w:rsidR="00BE3818" w:rsidRPr="009D6B10">
        <w:rPr>
          <w:i/>
        </w:rPr>
        <w:t>ny other relevant matters</w:t>
      </w:r>
      <w:bookmarkEnd w:id="74"/>
    </w:p>
    <w:p w14:paraId="3E268952" w14:textId="71AFB0AD" w:rsidR="00BE3818" w:rsidRDefault="008B5567" w:rsidP="00BE3818">
      <w:pPr>
        <w:rPr>
          <w:lang w:bidi="ar-SA"/>
        </w:rPr>
      </w:pPr>
      <w:r>
        <w:t>Other relevant matters are co</w:t>
      </w:r>
      <w:r w:rsidR="00D82B3D">
        <w:t xml:space="preserve">vered </w:t>
      </w:r>
      <w:r>
        <w:t>below</w:t>
      </w:r>
      <w:r w:rsidR="00BE3818">
        <w:rPr>
          <w:lang w:bidi="ar-SA"/>
        </w:rPr>
        <w:t>.</w:t>
      </w:r>
      <w:r>
        <w:t xml:space="preserve"> </w:t>
      </w:r>
    </w:p>
    <w:p w14:paraId="676EE64E" w14:textId="651DC16E" w:rsidR="00022DBC" w:rsidRPr="00914030" w:rsidRDefault="001A6A1F" w:rsidP="00022DBC">
      <w:pPr>
        <w:pStyle w:val="Heading3"/>
      </w:pPr>
      <w:bookmarkStart w:id="75" w:name="_Toc506454352"/>
      <w:bookmarkStart w:id="76" w:name="_Toc300761897"/>
      <w:bookmarkStart w:id="77" w:name="_Toc300933440"/>
      <w:r>
        <w:t>2.4</w:t>
      </w:r>
      <w:r w:rsidR="00BE3818">
        <w:t>.2</w:t>
      </w:r>
      <w:r w:rsidR="00022DBC" w:rsidRPr="00914030">
        <w:t>.</w:t>
      </w:r>
      <w:r w:rsidR="00022DBC" w:rsidRPr="00914030">
        <w:tab/>
      </w:r>
      <w:r w:rsidR="00BE3818">
        <w:t>Subsection 18(1)</w:t>
      </w:r>
      <w:bookmarkEnd w:id="75"/>
      <w:r w:rsidR="00BE3818">
        <w:t xml:space="preserve"> </w:t>
      </w:r>
      <w:bookmarkEnd w:id="76"/>
      <w:bookmarkEnd w:id="77"/>
    </w:p>
    <w:p w14:paraId="24861E2C"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8403DAC" w14:textId="6214E27D" w:rsidR="00022DBC" w:rsidRPr="009D6B10" w:rsidRDefault="00BE3818" w:rsidP="009D6B10">
      <w:pPr>
        <w:pStyle w:val="Heading3"/>
        <w:rPr>
          <w:i/>
        </w:rPr>
      </w:pPr>
      <w:bookmarkStart w:id="78" w:name="_Toc297029117"/>
      <w:bookmarkStart w:id="79" w:name="_Toc300761898"/>
      <w:bookmarkStart w:id="80" w:name="_Toc300933441"/>
      <w:bookmarkStart w:id="81" w:name="_Toc506454353"/>
      <w:r w:rsidRPr="009D6B10">
        <w:rPr>
          <w:i/>
        </w:rPr>
        <w:lastRenderedPageBreak/>
        <w:t>2.</w:t>
      </w:r>
      <w:r w:rsidR="001A6A1F" w:rsidRPr="009D6B10">
        <w:rPr>
          <w:i/>
        </w:rPr>
        <w:t>4</w:t>
      </w:r>
      <w:r w:rsidRPr="009D6B10">
        <w:rPr>
          <w:i/>
        </w:rPr>
        <w:t>.2</w:t>
      </w:r>
      <w:r w:rsidR="00022DBC" w:rsidRPr="009D6B10">
        <w:rPr>
          <w:i/>
        </w:rPr>
        <w:t>.1</w:t>
      </w:r>
      <w:r w:rsidR="00022DBC" w:rsidRPr="009D6B10">
        <w:rPr>
          <w:i/>
        </w:rPr>
        <w:tab/>
        <w:t>Protection of public health and safety</w:t>
      </w:r>
      <w:bookmarkEnd w:id="78"/>
      <w:bookmarkEnd w:id="79"/>
      <w:bookmarkEnd w:id="80"/>
      <w:bookmarkEnd w:id="81"/>
    </w:p>
    <w:p w14:paraId="638AD875" w14:textId="01B1A7DD" w:rsidR="00022DBC" w:rsidRPr="004F60EB" w:rsidRDefault="006F55B7" w:rsidP="00022DBC">
      <w:r>
        <w:t xml:space="preserve">FSANZ </w:t>
      </w:r>
      <w:r w:rsidRPr="0048724A">
        <w:t>conclude</w:t>
      </w:r>
      <w:r w:rsidR="003779B5">
        <w:t>d</w:t>
      </w:r>
      <w:r w:rsidRPr="0048724A">
        <w:t xml:space="preserve"> that there </w:t>
      </w:r>
      <w:r w:rsidRPr="00BB47E2">
        <w:t xml:space="preserve">are no public health and safety </w:t>
      </w:r>
      <w:r w:rsidR="006E4D67">
        <w:t>risks</w:t>
      </w:r>
      <w:r w:rsidR="006E4D67" w:rsidRPr="00BB47E2">
        <w:t xml:space="preserve"> </w:t>
      </w:r>
      <w:r w:rsidR="003779B5">
        <w:t xml:space="preserve">to the general population. </w:t>
      </w:r>
      <w:r w:rsidR="00D74EB4" w:rsidRPr="00D74EB4">
        <w:t>Fish (Tuna) products are used in the fermentation media</w:t>
      </w:r>
      <w:r w:rsidR="00D74EB4">
        <w:t>. F</w:t>
      </w:r>
      <w:r w:rsidR="003779B5" w:rsidRPr="003779B5">
        <w:t xml:space="preserve">ish protein has no allergenic threshold, therefore may pose a risk to vulnerable populations sensitive to </w:t>
      </w:r>
      <w:r w:rsidR="003779B5">
        <w:t>it</w:t>
      </w:r>
      <w:r w:rsidR="003779B5" w:rsidRPr="00833063">
        <w:t>.</w:t>
      </w:r>
      <w:r w:rsidR="003779B5" w:rsidRPr="00BB47E2" w:rsidDel="003779B5">
        <w:t xml:space="preserve"> </w:t>
      </w:r>
    </w:p>
    <w:p w14:paraId="609EECB3" w14:textId="6C662EA7" w:rsidR="00022DBC" w:rsidRPr="009D6B10" w:rsidRDefault="001A6A1F" w:rsidP="009D6B10">
      <w:pPr>
        <w:pStyle w:val="Heading3"/>
        <w:rPr>
          <w:i/>
        </w:rPr>
      </w:pPr>
      <w:bookmarkStart w:id="82" w:name="_Toc300761899"/>
      <w:bookmarkStart w:id="83" w:name="_Toc300933442"/>
      <w:bookmarkStart w:id="84" w:name="_Toc506454354"/>
      <w:r w:rsidRPr="009D6B10">
        <w:rPr>
          <w:i/>
        </w:rPr>
        <w:t>2.4</w:t>
      </w:r>
      <w:r w:rsidR="00BE3818" w:rsidRPr="009D6B10">
        <w:rPr>
          <w:i/>
        </w:rPr>
        <w:t>.2</w:t>
      </w:r>
      <w:r w:rsidR="00022DBC" w:rsidRPr="009D6B10">
        <w:rPr>
          <w:i/>
        </w:rPr>
        <w:t>.2</w:t>
      </w:r>
      <w:r w:rsidR="00022DBC" w:rsidRPr="009D6B10">
        <w:rPr>
          <w:i/>
        </w:rPr>
        <w:tab/>
        <w:t>The provision of adequate information relating to food to enable consumers to make informed choices</w:t>
      </w:r>
      <w:bookmarkEnd w:id="82"/>
      <w:bookmarkEnd w:id="83"/>
      <w:bookmarkEnd w:id="84"/>
    </w:p>
    <w:p w14:paraId="7FFDE473" w14:textId="1A8903EA" w:rsidR="006F55B7" w:rsidRPr="00FF6690" w:rsidRDefault="006F55B7" w:rsidP="006F55B7">
      <w:bookmarkStart w:id="85" w:name="_Toc300761900"/>
      <w:bookmarkStart w:id="86" w:name="_Toc300933443"/>
      <w:r w:rsidRPr="00DF3D74">
        <w:t xml:space="preserve">The labelling requirements for </w:t>
      </w:r>
      <w:r>
        <w:t xml:space="preserve">the </w:t>
      </w:r>
      <w:r w:rsidR="00F41815">
        <w:t>thermolysin</w:t>
      </w:r>
      <w:r w:rsidRPr="00DF3D74">
        <w:t xml:space="preserve"> are discussed in Section 2.2.</w:t>
      </w:r>
      <w:r w:rsidR="00A131EA">
        <w:t>2</w:t>
      </w:r>
      <w:r w:rsidRPr="00DF3D74">
        <w:t xml:space="preserve"> </w:t>
      </w:r>
      <w:r w:rsidR="007B03BF">
        <w:t>above</w:t>
      </w:r>
      <w:r w:rsidRPr="00DF3D74">
        <w:t>.</w:t>
      </w:r>
      <w:r>
        <w:t xml:space="preserve"> The</w:t>
      </w:r>
      <w:r w:rsidR="00E36BFB">
        <w:t xml:space="preserve"> existing labelling </w:t>
      </w:r>
      <w:r>
        <w:t xml:space="preserve">requirements </w:t>
      </w:r>
      <w:r w:rsidR="00E36BFB">
        <w:t>in the Code</w:t>
      </w:r>
      <w:r w:rsidR="000550A0">
        <w:t xml:space="preserve">, including the mandatory declaration of certain allergens when present </w:t>
      </w:r>
      <w:r w:rsidR="000550A0" w:rsidRPr="004042EE">
        <w:t>as a processing aid or an ingredient or com</w:t>
      </w:r>
      <w:r w:rsidR="000550A0">
        <w:t>ponent of a processing aid,</w:t>
      </w:r>
      <w:r w:rsidR="00E36BFB">
        <w:t xml:space="preserve"> </w:t>
      </w:r>
      <w:r>
        <w:t>are considered to be appropriate for the permitted use of th</w:t>
      </w:r>
      <w:r w:rsidR="00F41815">
        <w:t>ermolysin</w:t>
      </w:r>
      <w:r>
        <w:t xml:space="preserve"> in foods.</w:t>
      </w:r>
    </w:p>
    <w:p w14:paraId="4A31FA40" w14:textId="77777777" w:rsidR="006F55B7" w:rsidRPr="009D6B10" w:rsidRDefault="006F55B7" w:rsidP="009D6B10">
      <w:pPr>
        <w:pStyle w:val="Heading3"/>
        <w:rPr>
          <w:i/>
        </w:rPr>
      </w:pPr>
      <w:bookmarkStart w:id="87" w:name="_Toc506454355"/>
      <w:r w:rsidRPr="009D6B10">
        <w:rPr>
          <w:i/>
        </w:rPr>
        <w:t>2.4.2.3</w:t>
      </w:r>
      <w:r w:rsidRPr="009D6B10">
        <w:rPr>
          <w:i/>
        </w:rPr>
        <w:tab/>
        <w:t>The prevention of misleading or deceptive conduct</w:t>
      </w:r>
      <w:bookmarkEnd w:id="87"/>
    </w:p>
    <w:p w14:paraId="0EC13B81" w14:textId="6609833C" w:rsidR="0048724A" w:rsidRDefault="003E5923" w:rsidP="0048724A">
      <w:r>
        <w:t>N</w:t>
      </w:r>
      <w:r w:rsidR="006F55B7" w:rsidRPr="00DF3D74">
        <w:t xml:space="preserve">o issues </w:t>
      </w:r>
      <w:r>
        <w:t xml:space="preserve">have been </w:t>
      </w:r>
      <w:r w:rsidR="006F55B7" w:rsidRPr="00DF3D74">
        <w:t>identified with this Application relevant to this objective.</w:t>
      </w:r>
      <w:bookmarkStart w:id="88" w:name="_Toc300761901"/>
      <w:bookmarkStart w:id="89" w:name="_Toc300933444"/>
      <w:bookmarkEnd w:id="85"/>
      <w:bookmarkEnd w:id="86"/>
    </w:p>
    <w:p w14:paraId="7ACC15F1" w14:textId="369FB2A0" w:rsidR="00022DBC" w:rsidRDefault="001A6A1F" w:rsidP="009D6B10">
      <w:pPr>
        <w:pStyle w:val="Heading3"/>
      </w:pPr>
      <w:bookmarkStart w:id="90" w:name="_Toc506454356"/>
      <w:r>
        <w:t>2.4</w:t>
      </w:r>
      <w:r w:rsidR="00B51E03">
        <w:t>.3</w:t>
      </w:r>
      <w:r w:rsidR="00022DBC" w:rsidRPr="00914030">
        <w:tab/>
        <w:t xml:space="preserve">Subsection 18(2) </w:t>
      </w:r>
      <w:bookmarkEnd w:id="88"/>
      <w:bookmarkEnd w:id="89"/>
      <w:r w:rsidR="00022DBC" w:rsidRPr="00914030">
        <w:t>considerations</w:t>
      </w:r>
      <w:bookmarkEnd w:id="90"/>
    </w:p>
    <w:p w14:paraId="31767259" w14:textId="74A4529A" w:rsidR="00AA5851" w:rsidRPr="00FD69D9" w:rsidRDefault="00AA5851" w:rsidP="00AA5851">
      <w:pPr>
        <w:rPr>
          <w:rFonts w:cs="Arial"/>
        </w:rPr>
      </w:pPr>
      <w:r w:rsidRPr="00FD69D9">
        <w:rPr>
          <w:rFonts w:cs="Arial"/>
        </w:rPr>
        <w:t>FSANZ has also had regard to:</w:t>
      </w:r>
    </w:p>
    <w:p w14:paraId="280D8258" w14:textId="77777777" w:rsidR="00AA5851" w:rsidRPr="00FD69D9" w:rsidRDefault="00AA5851" w:rsidP="00AA5851">
      <w:pPr>
        <w:rPr>
          <w:rFonts w:cs="Arial"/>
        </w:rPr>
      </w:pPr>
    </w:p>
    <w:p w14:paraId="294E44C9" w14:textId="77777777" w:rsidR="00AA5851" w:rsidRPr="00FD69D9" w:rsidRDefault="00AA5851" w:rsidP="00AA5851">
      <w:pPr>
        <w:pStyle w:val="FSBullet1"/>
        <w:rPr>
          <w:b/>
        </w:rPr>
      </w:pPr>
      <w:r w:rsidRPr="00FD69D9">
        <w:rPr>
          <w:b/>
        </w:rPr>
        <w:t>the need for standards to be based on risk analysis using the best available scientific evidence</w:t>
      </w:r>
    </w:p>
    <w:p w14:paraId="3AB18C31" w14:textId="77777777" w:rsidR="00AA5851" w:rsidRPr="00FD69D9" w:rsidRDefault="00AA5851" w:rsidP="00AA5851">
      <w:pPr>
        <w:rPr>
          <w:lang w:bidi="ar-SA"/>
        </w:rPr>
      </w:pPr>
    </w:p>
    <w:p w14:paraId="485BFDFB" w14:textId="0B8F88BD" w:rsidR="00AA5851" w:rsidRPr="00FE0F7C" w:rsidRDefault="00AA5851" w:rsidP="00AA5851">
      <w:r w:rsidRPr="00FD69D9">
        <w:t xml:space="preserve">FSANZ used the best available scientific evidence to conduct the risk </w:t>
      </w:r>
      <w:r w:rsidR="009D7ABB">
        <w:t>assessment</w:t>
      </w:r>
      <w:r w:rsidR="009D7ABB" w:rsidRPr="00FD69D9">
        <w:t xml:space="preserve"> </w:t>
      </w:r>
      <w:r w:rsidRPr="00FD69D9">
        <w:t xml:space="preserve">which is provided </w:t>
      </w:r>
      <w:r w:rsidRPr="00FE0F7C">
        <w:t>in SD1. The Applicant submitted a dossier of scientific studies as part of their Application. Other technical information including scientific literature was also used in assessing the Application.</w:t>
      </w:r>
    </w:p>
    <w:p w14:paraId="0C2B5948" w14:textId="77777777" w:rsidR="00AA5851" w:rsidRPr="00FD69D9" w:rsidRDefault="00AA5851" w:rsidP="00AA5851">
      <w:pPr>
        <w:rPr>
          <w:lang w:bidi="ar-SA"/>
        </w:rPr>
      </w:pPr>
    </w:p>
    <w:p w14:paraId="760CE37D" w14:textId="77777777" w:rsidR="00AA5851" w:rsidRPr="00FD69D9" w:rsidRDefault="00AA5851" w:rsidP="00AA5851">
      <w:pPr>
        <w:pStyle w:val="FSBullet1"/>
        <w:rPr>
          <w:b/>
        </w:rPr>
      </w:pPr>
      <w:r w:rsidRPr="00FD69D9">
        <w:rPr>
          <w:b/>
        </w:rPr>
        <w:t>the promotion of consistency between domestic and international food standards</w:t>
      </w:r>
    </w:p>
    <w:p w14:paraId="6780256C" w14:textId="77777777" w:rsidR="00AA5851" w:rsidRPr="00FD69D9" w:rsidRDefault="00AA5851" w:rsidP="00AA5851">
      <w:pPr>
        <w:rPr>
          <w:lang w:bidi="ar-SA"/>
        </w:rPr>
      </w:pPr>
    </w:p>
    <w:p w14:paraId="3FD02997" w14:textId="75E6C25A" w:rsidR="00AB69FE" w:rsidRDefault="00AA5851" w:rsidP="00AB69FE">
      <w:r w:rsidRPr="00FD69D9">
        <w:t xml:space="preserve">There are no Codex Alimentarius Standards for processing aids or enzymes. However, </w:t>
      </w:r>
      <w:r w:rsidR="00AB69FE">
        <w:t>t</w:t>
      </w:r>
      <w:r w:rsidR="00AB69FE" w:rsidRPr="00AB69FE">
        <w:t>here are internationally recognised specifications for enzymes. These enzyme specifications are provided by the Joint FAO/WHO Expert Committee on Food Additives (JECFA, 2006) and the Food Chemicals Codex (Food Chemicals Codex, 2015).</w:t>
      </w:r>
    </w:p>
    <w:p w14:paraId="564A4470" w14:textId="77777777" w:rsidR="00AB69FE" w:rsidRPr="00AB69FE" w:rsidRDefault="00AB69FE" w:rsidP="00AB69FE"/>
    <w:p w14:paraId="7722AA0C" w14:textId="021E499F" w:rsidR="00AB69FE" w:rsidRDefault="00AB69FE" w:rsidP="00AB69FE">
      <w:pPr>
        <w:rPr>
          <w:rFonts w:cs="Arial"/>
        </w:rPr>
      </w:pPr>
      <w:r>
        <w:t>T</w:t>
      </w:r>
      <w:r w:rsidR="00AA5851" w:rsidRPr="00FD69D9">
        <w:t>he enzyme preparation</w:t>
      </w:r>
      <w:r w:rsidR="00F41815">
        <w:t xml:space="preserve"> containing</w:t>
      </w:r>
      <w:r w:rsidR="00AA5851" w:rsidRPr="00FD69D9">
        <w:t xml:space="preserve"> </w:t>
      </w:r>
      <w:r w:rsidR="00F41815">
        <w:t>t</w:t>
      </w:r>
      <w:r w:rsidR="00016E11">
        <w:t>hermolysin</w:t>
      </w:r>
      <w:r w:rsidR="00562608" w:rsidRPr="00BB47E2">
        <w:t xml:space="preserve"> </w:t>
      </w:r>
      <w:r w:rsidR="00A131EA">
        <w:t xml:space="preserve">sourced </w:t>
      </w:r>
      <w:r w:rsidR="00562608" w:rsidRPr="00BB47E2">
        <w:t xml:space="preserve">from </w:t>
      </w:r>
      <w:r w:rsidR="00915DD4">
        <w:rPr>
          <w:i/>
        </w:rPr>
        <w:t>A. caldiproteolyticus</w:t>
      </w:r>
      <w:r w:rsidR="00B750B9">
        <w:rPr>
          <w:i/>
        </w:rPr>
        <w:t xml:space="preserve"> </w:t>
      </w:r>
      <w:r w:rsidR="006F6604">
        <w:t>(</w:t>
      </w:r>
      <w:r w:rsidR="006F7F85">
        <w:t xml:space="preserve">listed under its former name; </w:t>
      </w:r>
      <w:r w:rsidR="006F6604">
        <w:rPr>
          <w:i/>
        </w:rPr>
        <w:t>Geobacillus stearothermophilus</w:t>
      </w:r>
      <w:r w:rsidR="006F7F85" w:rsidRPr="000544D0">
        <w:t>)</w:t>
      </w:r>
      <w:r w:rsidR="006F6604">
        <w:rPr>
          <w:i/>
        </w:rPr>
        <w:t xml:space="preserve"> </w:t>
      </w:r>
      <w:r w:rsidR="006F6604" w:rsidRPr="00D82B3D">
        <w:t xml:space="preserve">is </w:t>
      </w:r>
      <w:r w:rsidR="000C0DA3" w:rsidRPr="00D82B3D">
        <w:t>permitted for use in France</w:t>
      </w:r>
      <w:r w:rsidR="00D82B3D">
        <w:t>.</w:t>
      </w:r>
      <w:r w:rsidRPr="00AB69FE">
        <w:rPr>
          <w:rFonts w:cs="Arial"/>
        </w:rPr>
        <w:t xml:space="preserve"> </w:t>
      </w:r>
    </w:p>
    <w:p w14:paraId="18092127" w14:textId="1A3C2E76" w:rsidR="000C0DA3" w:rsidRPr="0048135F" w:rsidRDefault="000C0DA3" w:rsidP="00AA5851"/>
    <w:p w14:paraId="406F26DF" w14:textId="77777777" w:rsidR="00AA5851" w:rsidRPr="00FD69D9" w:rsidRDefault="00AA5851" w:rsidP="00AA5851">
      <w:pPr>
        <w:pStyle w:val="FSBullet1"/>
        <w:rPr>
          <w:b/>
        </w:rPr>
      </w:pPr>
      <w:r w:rsidRPr="00FD69D9">
        <w:rPr>
          <w:b/>
        </w:rPr>
        <w:t>the desirability of an efficient and internationally competitive food industry</w:t>
      </w:r>
    </w:p>
    <w:p w14:paraId="03330B23" w14:textId="77777777" w:rsidR="00AA5851" w:rsidRPr="00FD69D9" w:rsidRDefault="00AA5851" w:rsidP="00AA5851">
      <w:pPr>
        <w:rPr>
          <w:lang w:bidi="ar-SA"/>
        </w:rPr>
      </w:pPr>
    </w:p>
    <w:p w14:paraId="583EF430" w14:textId="32B56771" w:rsidR="00AA5851" w:rsidRPr="00FD69D9" w:rsidRDefault="007B03BF" w:rsidP="00AA5851">
      <w:r w:rsidRPr="00F37E1E">
        <w:rPr>
          <w:szCs w:val="22"/>
        </w:rPr>
        <w:t xml:space="preserve">Permission to use the enzyme as a processing aid will enable Australia/New Zealand food manufacturers to access and use a product assessed as safe that is available to their overseas competitors. This will improve their capacity to compete in overseas markets. See discussion at Section 2.4.1 above. </w:t>
      </w:r>
    </w:p>
    <w:p w14:paraId="022AB14E" w14:textId="6B0EF77F" w:rsidR="00AA5851" w:rsidRPr="00FD69D9" w:rsidRDefault="00AA5851" w:rsidP="00AA5851">
      <w:pPr>
        <w:rPr>
          <w:lang w:bidi="ar-SA"/>
        </w:rPr>
      </w:pPr>
    </w:p>
    <w:p w14:paraId="0974E471" w14:textId="18C76C82" w:rsidR="00A131EA" w:rsidRDefault="00AA5851" w:rsidP="00A131EA">
      <w:pPr>
        <w:pStyle w:val="FSBullet1"/>
        <w:keepNext/>
        <w:rPr>
          <w:b/>
        </w:rPr>
      </w:pPr>
      <w:r w:rsidRPr="00FD69D9">
        <w:rPr>
          <w:b/>
        </w:rPr>
        <w:t>the promotion of fair trading in foo</w:t>
      </w:r>
      <w:r w:rsidR="00A131EA">
        <w:rPr>
          <w:b/>
        </w:rPr>
        <w:t>d</w:t>
      </w:r>
    </w:p>
    <w:p w14:paraId="359A77F7" w14:textId="77777777" w:rsidR="00A131EA" w:rsidRPr="00A131EA" w:rsidRDefault="00A131EA" w:rsidP="00A131EA">
      <w:pPr>
        <w:rPr>
          <w:lang w:bidi="ar-SA"/>
        </w:rPr>
      </w:pPr>
    </w:p>
    <w:p w14:paraId="440FD6F5" w14:textId="2273F329" w:rsidR="00E67632" w:rsidRDefault="00AA5851" w:rsidP="00F81C52">
      <w:r w:rsidRPr="00097821">
        <w:t xml:space="preserve">The </w:t>
      </w:r>
      <w:r w:rsidR="00F41815">
        <w:t xml:space="preserve">thermolysin </w:t>
      </w:r>
      <w:r w:rsidRPr="00097821">
        <w:t xml:space="preserve">enzyme preparation has been assessed as safe and </w:t>
      </w:r>
      <w:r w:rsidR="0048724A" w:rsidRPr="00097821">
        <w:t xml:space="preserve">is </w:t>
      </w:r>
      <w:r w:rsidRPr="00097821">
        <w:t xml:space="preserve">permitted for use in </w:t>
      </w:r>
      <w:r w:rsidR="006E4D67">
        <w:t>France</w:t>
      </w:r>
      <w:r w:rsidRPr="00097821">
        <w:t xml:space="preserve">. It is therefore appropriate that the local Australian and New Zealand food industries </w:t>
      </w:r>
      <w:r w:rsidR="0048724A" w:rsidRPr="00097821">
        <w:t xml:space="preserve">can </w:t>
      </w:r>
      <w:r w:rsidRPr="00097821">
        <w:t>also benefit by gaining permission to use this same</w:t>
      </w:r>
      <w:r w:rsidRPr="00FD69D9">
        <w:t xml:space="preserve"> enzyme preparation.</w:t>
      </w:r>
    </w:p>
    <w:p w14:paraId="4C031B69" w14:textId="77777777" w:rsidR="00E67632" w:rsidRPr="000A433E" w:rsidRDefault="00E67632" w:rsidP="00F81C52"/>
    <w:p w14:paraId="34F6AEED" w14:textId="77777777" w:rsidR="00AA5851" w:rsidRPr="00FD69D9" w:rsidRDefault="00AA5851" w:rsidP="00AA5851">
      <w:pPr>
        <w:pStyle w:val="FSBullet1"/>
      </w:pPr>
      <w:r w:rsidRPr="00FD69D9">
        <w:rPr>
          <w:b/>
        </w:rPr>
        <w:lastRenderedPageBreak/>
        <w:t>any written policy guidelines formulated by the Ministerial Council</w:t>
      </w:r>
      <w:r w:rsidRPr="00FD69D9">
        <w:rPr>
          <w:rStyle w:val="FootnoteReference"/>
        </w:rPr>
        <w:footnoteReference w:id="4"/>
      </w:r>
    </w:p>
    <w:p w14:paraId="2BCDF921" w14:textId="77777777" w:rsidR="00C07527" w:rsidRDefault="00C07527" w:rsidP="00AA5851">
      <w:pPr>
        <w:keepNext/>
        <w:widowControl/>
      </w:pPr>
    </w:p>
    <w:p w14:paraId="792FE210" w14:textId="45FD03A7" w:rsidR="00C07527" w:rsidRDefault="00AA5851" w:rsidP="00AA5851">
      <w:pPr>
        <w:keepNext/>
        <w:widowControl/>
      </w:pPr>
      <w:r w:rsidRPr="00FD69D9">
        <w:t xml:space="preserve">The Ministerial Policy Guideline </w:t>
      </w:r>
      <w:r w:rsidRPr="00FD69D9">
        <w:rPr>
          <w:i/>
        </w:rPr>
        <w:t>Addition to Food of Substances other than Vitamins and Minerals</w:t>
      </w:r>
      <w:r w:rsidRPr="00FD69D9">
        <w:rPr>
          <w:i/>
          <w:vertAlign w:val="superscript"/>
          <w:lang w:bidi="ar-SA"/>
        </w:rPr>
        <w:footnoteReference w:id="5"/>
      </w:r>
      <w:r w:rsidRPr="00FD69D9">
        <w:t xml:space="preserve"> includes specific order policy principles for substances added to achieve a solely technological function, such as processing aids.</w:t>
      </w:r>
    </w:p>
    <w:p w14:paraId="1C0CA075" w14:textId="77777777" w:rsidR="00C07527" w:rsidRDefault="00C07527" w:rsidP="00AA5851">
      <w:pPr>
        <w:keepNext/>
        <w:widowControl/>
      </w:pPr>
    </w:p>
    <w:p w14:paraId="2D7649BA" w14:textId="3D00729A" w:rsidR="00AA5851" w:rsidRPr="00FD69D9" w:rsidRDefault="00AA5851" w:rsidP="00AA5851">
      <w:pPr>
        <w:keepNext/>
        <w:widowControl/>
      </w:pPr>
      <w:r w:rsidRPr="00FD69D9">
        <w:t>These specific order policy principles state that permission should be granted where:</w:t>
      </w:r>
    </w:p>
    <w:p w14:paraId="7E19F6BB" w14:textId="77777777" w:rsidR="00AA5851" w:rsidRPr="00097821" w:rsidRDefault="00AA5851" w:rsidP="00AA5851">
      <w:pPr>
        <w:pStyle w:val="FSBullet1"/>
      </w:pPr>
      <w:r w:rsidRPr="00097821">
        <w:t>the purpose for adding the substance can be articulated clearly by the manufacturer as achieving a solely technological function (i.e. the ‘stated purpose’)</w:t>
      </w:r>
    </w:p>
    <w:p w14:paraId="451B63D6" w14:textId="77777777" w:rsidR="00AA5851" w:rsidRPr="00FD69D9" w:rsidRDefault="00AA5851" w:rsidP="00AA5851">
      <w:pPr>
        <w:pStyle w:val="FSBullet1"/>
      </w:pPr>
      <w:r w:rsidRPr="00FD69D9">
        <w:t>the addition of the substance to food is safe for human consumption</w:t>
      </w:r>
    </w:p>
    <w:p w14:paraId="46D1E4FB" w14:textId="77777777" w:rsidR="00AA5851" w:rsidRPr="00FD69D9" w:rsidRDefault="00AA5851" w:rsidP="00AA5851">
      <w:pPr>
        <w:pStyle w:val="FSBullet1"/>
      </w:pPr>
      <w:r w:rsidRPr="00FD69D9">
        <w:t>the amounts added are consistent with achieving the technological function</w:t>
      </w:r>
    </w:p>
    <w:p w14:paraId="7D4A3BA9" w14:textId="77777777" w:rsidR="00AA5851" w:rsidRPr="00FD69D9" w:rsidRDefault="00AA5851" w:rsidP="00AA5851">
      <w:pPr>
        <w:pStyle w:val="FSBullet1"/>
      </w:pPr>
      <w:r w:rsidRPr="00FD69D9">
        <w:t>the substance is added in a quantity and a form which is consistent with delivering the stated purpose</w:t>
      </w:r>
    </w:p>
    <w:p w14:paraId="23DFB15E" w14:textId="4123102A" w:rsidR="00AA5851" w:rsidRPr="00FD69D9" w:rsidRDefault="00AA5851" w:rsidP="00AA5851">
      <w:pPr>
        <w:pStyle w:val="FSBullet1"/>
      </w:pPr>
      <w:r w:rsidRPr="00FD69D9">
        <w:t xml:space="preserve">no nutrition, health or </w:t>
      </w:r>
      <w:r w:rsidR="00C07527">
        <w:t>related claims are to be made with</w:t>
      </w:r>
      <w:r w:rsidRPr="00FD69D9">
        <w:t xml:space="preserve"> regard to the substance.</w:t>
      </w:r>
    </w:p>
    <w:p w14:paraId="77984A7A" w14:textId="77777777" w:rsidR="00E66C5A" w:rsidRDefault="00E66C5A" w:rsidP="00AA5851"/>
    <w:p w14:paraId="4D160905" w14:textId="27FB349D" w:rsidR="00AA5851" w:rsidRDefault="00AA5851" w:rsidP="00AA5851">
      <w:r w:rsidRPr="00FD69D9">
        <w:t xml:space="preserve">FSANZ </w:t>
      </w:r>
      <w:r w:rsidR="0048724A">
        <w:t xml:space="preserve">considers </w:t>
      </w:r>
      <w:r w:rsidRPr="00FD69D9">
        <w:t>that permitting the use of the enzyme</w:t>
      </w:r>
      <w:r w:rsidR="00F41815">
        <w:t xml:space="preserve"> preparation </w:t>
      </w:r>
      <w:r w:rsidR="00895885">
        <w:t>containing</w:t>
      </w:r>
      <w:r w:rsidRPr="00FD69D9">
        <w:t xml:space="preserve"> </w:t>
      </w:r>
      <w:r w:rsidR="00F41815">
        <w:t>t</w:t>
      </w:r>
      <w:r w:rsidR="00016E11">
        <w:t>hermolysin</w:t>
      </w:r>
      <w:r w:rsidR="0048724A" w:rsidRPr="00BB47E2">
        <w:t xml:space="preserve">, from </w:t>
      </w:r>
      <w:r w:rsidR="00915DD4">
        <w:rPr>
          <w:i/>
        </w:rPr>
        <w:t xml:space="preserve">A. </w:t>
      </w:r>
      <w:r w:rsidR="00BE66A9">
        <w:rPr>
          <w:i/>
        </w:rPr>
        <w:t>c</w:t>
      </w:r>
      <w:r w:rsidR="00915DD4">
        <w:rPr>
          <w:i/>
        </w:rPr>
        <w:t>aldiproteolyticus</w:t>
      </w:r>
      <w:r w:rsidR="00F41815">
        <w:rPr>
          <w:i/>
        </w:rPr>
        <w:t xml:space="preserve"> </w:t>
      </w:r>
      <w:r w:rsidR="00F41815">
        <w:t>strain TP-7</w:t>
      </w:r>
      <w:r w:rsidR="00B750B9">
        <w:rPr>
          <w:i/>
        </w:rPr>
        <w:t xml:space="preserve"> </w:t>
      </w:r>
      <w:r w:rsidRPr="00FD69D9">
        <w:t xml:space="preserve">as a processing </w:t>
      </w:r>
      <w:r w:rsidR="004F60EB" w:rsidRPr="00FD69D9">
        <w:t>aid</w:t>
      </w:r>
      <w:r w:rsidRPr="00FD69D9">
        <w:t xml:space="preserve"> </w:t>
      </w:r>
      <w:r w:rsidR="002B41A2">
        <w:t>for the stated technological purpose</w:t>
      </w:r>
      <w:r w:rsidR="002B41A2" w:rsidRPr="00F05D25" w:rsidDel="00C53C63">
        <w:t xml:space="preserve"> </w:t>
      </w:r>
      <w:r w:rsidRPr="00FD69D9">
        <w:t xml:space="preserve">is consistent with the </w:t>
      </w:r>
      <w:r w:rsidR="00EF5658" w:rsidRPr="00FD69D9">
        <w:t xml:space="preserve">Ministerial Policy Guideline </w:t>
      </w:r>
      <w:r w:rsidR="00EF5658">
        <w:t xml:space="preserve">and the </w:t>
      </w:r>
      <w:r w:rsidRPr="00FD69D9">
        <w:t>specific order policy principles for ‘Technological Function’.</w:t>
      </w:r>
    </w:p>
    <w:p w14:paraId="59EECBA8" w14:textId="272D4A8B" w:rsidR="00097821" w:rsidRDefault="00097821" w:rsidP="00AA5851"/>
    <w:p w14:paraId="586ECE96" w14:textId="747955D0" w:rsidR="005F7342" w:rsidRPr="00C07527" w:rsidRDefault="00867B23" w:rsidP="00E203C2">
      <w:pPr>
        <w:pStyle w:val="Heading1"/>
      </w:pPr>
      <w:bookmarkStart w:id="91" w:name="_Toc286391014"/>
      <w:bookmarkStart w:id="92" w:name="_Toc175381455"/>
      <w:bookmarkStart w:id="93" w:name="_Toc300933445"/>
      <w:bookmarkStart w:id="94" w:name="_Toc506454357"/>
      <w:bookmarkEnd w:id="31"/>
      <w:bookmarkEnd w:id="32"/>
      <w:bookmarkEnd w:id="33"/>
      <w:bookmarkEnd w:id="34"/>
      <w:bookmarkEnd w:id="35"/>
      <w:bookmarkEnd w:id="36"/>
      <w:bookmarkEnd w:id="49"/>
      <w:r>
        <w:t>3</w:t>
      </w:r>
      <w:r w:rsidR="00F604DE">
        <w:tab/>
      </w:r>
      <w:bookmarkEnd w:id="91"/>
      <w:bookmarkEnd w:id="92"/>
      <w:bookmarkEnd w:id="93"/>
      <w:r w:rsidR="00D14405" w:rsidRPr="00C07527">
        <w:t>Draft variation</w:t>
      </w:r>
      <w:bookmarkEnd w:id="94"/>
    </w:p>
    <w:p w14:paraId="2DF8489B" w14:textId="4F26D205" w:rsidR="00D209C9" w:rsidRPr="00C07527" w:rsidRDefault="00D209C9" w:rsidP="00D209C9">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 xml:space="preserve"> and is intended to take effect on </w:t>
      </w:r>
      <w:r w:rsidR="006B3CC0">
        <w:rPr>
          <w:color w:val="000000" w:themeColor="text1"/>
        </w:rPr>
        <w:t xml:space="preserve">the date of </w:t>
      </w:r>
      <w:r w:rsidR="000564DE" w:rsidRPr="00C07527">
        <w:t>gazettal</w:t>
      </w:r>
      <w:r w:rsidRPr="00C07527">
        <w:t>.</w:t>
      </w:r>
    </w:p>
    <w:p w14:paraId="29061C4E" w14:textId="77777777" w:rsidR="00D209C9" w:rsidRPr="001E1FAB" w:rsidRDefault="00D209C9" w:rsidP="00D209C9">
      <w:pPr>
        <w:rPr>
          <w:color w:val="000000" w:themeColor="text1"/>
        </w:rPr>
      </w:pPr>
    </w:p>
    <w:p w14:paraId="0EB32853" w14:textId="4BE3A972" w:rsidR="00D26814" w:rsidRPr="005A4612" w:rsidRDefault="002C4A91" w:rsidP="002432EE">
      <w:pPr>
        <w:rPr>
          <w:rFonts w:cs="Arial"/>
        </w:rPr>
      </w:pPr>
      <w:r>
        <w:t>A</w:t>
      </w:r>
      <w:r w:rsidR="005358B0">
        <w:t xml:space="preserve"> draft explanator</w:t>
      </w:r>
      <w:r w:rsidR="005358B0" w:rsidRPr="00D26814">
        <w:t>y statement</w:t>
      </w:r>
      <w:r w:rsidR="005358B0">
        <w:t xml:space="preserve"> </w:t>
      </w:r>
      <w:r>
        <w:t>is</w:t>
      </w:r>
      <w:r w:rsidR="005358B0">
        <w:t xml:space="preserve"> at Attachment B. </w:t>
      </w:r>
      <w:r w:rsidR="00D26814" w:rsidRPr="00FE0F7C">
        <w:t>An explanatory statement</w:t>
      </w:r>
      <w:r w:rsidR="00D26814" w:rsidRPr="00D26814">
        <w:t xml:space="preserve">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95" w:name="_Toc11735643"/>
      <w:bookmarkStart w:id="96" w:name="_Toc29883130"/>
      <w:bookmarkStart w:id="97" w:name="_Toc41906817"/>
      <w:bookmarkStart w:id="98" w:name="_Toc41907564"/>
      <w:bookmarkStart w:id="99" w:name="_Toc43112360"/>
    </w:p>
    <w:bookmarkEnd w:id="95"/>
    <w:bookmarkEnd w:id="96"/>
    <w:bookmarkEnd w:id="97"/>
    <w:bookmarkEnd w:id="98"/>
    <w:bookmarkEnd w:id="99"/>
    <w:p w14:paraId="4DF80735" w14:textId="77777777" w:rsidR="003C4969" w:rsidRPr="00B5076B" w:rsidRDefault="00924C80" w:rsidP="002432EE">
      <w:pPr>
        <w:spacing w:before="240"/>
        <w:rPr>
          <w:b/>
          <w:sz w:val="28"/>
          <w:szCs w:val="28"/>
        </w:rPr>
      </w:pPr>
      <w:r w:rsidRPr="00B5076B">
        <w:rPr>
          <w:b/>
          <w:sz w:val="28"/>
          <w:szCs w:val="28"/>
        </w:rPr>
        <w:t>Attachments</w:t>
      </w:r>
    </w:p>
    <w:p w14:paraId="3F395199" w14:textId="77777777" w:rsidR="00A4175D" w:rsidRPr="00E203C2" w:rsidRDefault="00A4175D" w:rsidP="00AF06FC"/>
    <w:p w14:paraId="14FC3027" w14:textId="6BB4EEC2"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29D00C48" w14:textId="77777777" w:rsidR="00AB0275" w:rsidRDefault="00AB0275" w:rsidP="00AB0275">
      <w:pPr>
        <w:ind w:left="567" w:hanging="567"/>
      </w:pPr>
      <w:r w:rsidRPr="00456BD5">
        <w:t>B.</w:t>
      </w:r>
      <w:r w:rsidRPr="00456BD5">
        <w:tab/>
      </w:r>
      <w:r w:rsidR="002C4A91" w:rsidRPr="00FE0F7C">
        <w:t xml:space="preserve">Draft </w:t>
      </w:r>
      <w:r w:rsidRPr="00FE0F7C">
        <w:t>Explanatory Statement</w:t>
      </w:r>
      <w:r>
        <w:t xml:space="preserve"> </w:t>
      </w:r>
    </w:p>
    <w:p w14:paraId="2D73DDE8" w14:textId="77777777" w:rsidR="00D60568" w:rsidRPr="00E203C2" w:rsidRDefault="00D60568" w:rsidP="002432EE"/>
    <w:p w14:paraId="1D708022" w14:textId="77777777" w:rsidR="00A35DDA" w:rsidRDefault="00AB0275" w:rsidP="00AB0275">
      <w:pPr>
        <w:pStyle w:val="Heading2"/>
        <w:ind w:left="0" w:firstLine="0"/>
        <w:rPr>
          <w:i/>
        </w:rPr>
      </w:pPr>
      <w:bookmarkStart w:id="100" w:name="_Toc300933454"/>
      <w:r w:rsidRPr="00932F14">
        <w:br w:type="page"/>
      </w:r>
      <w:bookmarkStart w:id="101" w:name="_Toc29883131"/>
      <w:bookmarkStart w:id="102" w:name="_Toc41906818"/>
      <w:bookmarkStart w:id="103" w:name="_Toc41907565"/>
      <w:bookmarkStart w:id="104" w:name="_Toc120358596"/>
      <w:bookmarkStart w:id="105" w:name="_Toc175381458"/>
      <w:bookmarkStart w:id="106" w:name="_Toc11735644"/>
      <w:bookmarkStart w:id="107" w:name="_Toc415572037"/>
      <w:bookmarkStart w:id="108" w:name="_Toc506454358"/>
      <w:r w:rsidRPr="00932F14">
        <w:lastRenderedPageBreak/>
        <w:t xml:space="preserve">Attachment </w:t>
      </w:r>
      <w:bookmarkEnd w:id="101"/>
      <w:bookmarkEnd w:id="102"/>
      <w:bookmarkEnd w:id="103"/>
      <w:bookmarkEnd w:id="104"/>
      <w:bookmarkEnd w:id="105"/>
      <w:r>
        <w:t>A</w:t>
      </w:r>
      <w:bookmarkStart w:id="109" w:name="_Toc120358597"/>
      <w:bookmarkStart w:id="110" w:name="_Toc175381459"/>
      <w:bookmarkEnd w:id="106"/>
      <w:r>
        <w:t xml:space="preserve"> –</w:t>
      </w:r>
      <w:r w:rsidR="00CA3C65">
        <w:t xml:space="preserve"> </w:t>
      </w:r>
      <w:bookmarkStart w:id="111" w:name="_Toc415572039"/>
      <w:bookmarkEnd w:id="100"/>
      <w:bookmarkEnd w:id="107"/>
      <w:bookmarkEnd w:id="109"/>
      <w:bookmarkEnd w:id="110"/>
      <w:r w:rsidR="00CA3C65">
        <w:t>D</w:t>
      </w:r>
      <w:r>
        <w:t xml:space="preserve">raft </w:t>
      </w:r>
      <w:r w:rsidRPr="00932F14">
        <w:t>variation to the</w:t>
      </w:r>
      <w:r w:rsidRPr="00755F02">
        <w:t xml:space="preserve"> </w:t>
      </w:r>
      <w:r w:rsidRPr="00795D86">
        <w:rPr>
          <w:i/>
        </w:rPr>
        <w:t>Australia New Zealand Food Standards Code</w:t>
      </w:r>
      <w:bookmarkEnd w:id="108"/>
    </w:p>
    <w:p w14:paraId="5114C627" w14:textId="7FF04C80" w:rsidR="00AB0275" w:rsidRPr="00456BD5" w:rsidRDefault="00AB0275" w:rsidP="00AB0275">
      <w:pPr>
        <w:pStyle w:val="Heading2"/>
        <w:ind w:left="0" w:firstLine="0"/>
      </w:pPr>
      <w:r>
        <w:rPr>
          <w:i/>
        </w:rPr>
        <w:t xml:space="preserve"> </w:t>
      </w:r>
      <w:bookmarkEnd w:id="111"/>
    </w:p>
    <w:p w14:paraId="25029AD7" w14:textId="77777777" w:rsidR="00AB0275" w:rsidRPr="00795D86" w:rsidRDefault="00AB0275" w:rsidP="00AB0275">
      <w:pPr>
        <w:rPr>
          <w:lang w:bidi="ar-SA"/>
        </w:rPr>
      </w:pPr>
    </w:p>
    <w:p w14:paraId="322ECBC4" w14:textId="77777777" w:rsidR="00A35DDA" w:rsidRPr="00C0014E" w:rsidRDefault="00A35DDA" w:rsidP="00A35DDA">
      <w:pPr>
        <w:rPr>
          <w:noProof/>
          <w:sz w:val="20"/>
          <w:lang w:val="en-AU" w:eastAsia="en-AU"/>
        </w:rPr>
      </w:pPr>
      <w:r w:rsidRPr="00C0014E">
        <w:rPr>
          <w:noProof/>
          <w:sz w:val="20"/>
          <w:lang w:eastAsia="en-GB" w:bidi="ar-SA"/>
        </w:rPr>
        <w:drawing>
          <wp:inline distT="0" distB="0" distL="0" distR="0" wp14:anchorId="19B585D2" wp14:editId="63DB8A5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84BF160" w14:textId="77777777" w:rsidR="00A35DDA" w:rsidRPr="006153A1" w:rsidRDefault="00A35DDA" w:rsidP="00A35DDA">
      <w:pPr>
        <w:pBdr>
          <w:bottom w:val="single" w:sz="4" w:space="1" w:color="auto"/>
        </w:pBdr>
        <w:rPr>
          <w:b/>
          <w:bCs/>
        </w:rPr>
      </w:pPr>
    </w:p>
    <w:p w14:paraId="2477BB2E" w14:textId="2E008A5C" w:rsidR="00A35DDA" w:rsidRPr="000544D0" w:rsidRDefault="00A35DDA" w:rsidP="00A35DDA">
      <w:pPr>
        <w:pBdr>
          <w:bottom w:val="single" w:sz="4" w:space="1" w:color="auto"/>
        </w:pBdr>
        <w:rPr>
          <w:b/>
          <w:szCs w:val="22"/>
        </w:rPr>
      </w:pPr>
      <w:r w:rsidRPr="000544D0">
        <w:rPr>
          <w:b/>
          <w:szCs w:val="22"/>
        </w:rPr>
        <w:t xml:space="preserve">Food Standards (Application </w:t>
      </w:r>
      <w:r w:rsidR="008426D6" w:rsidRPr="000544D0">
        <w:rPr>
          <w:b/>
          <w:szCs w:val="22"/>
        </w:rPr>
        <w:t>A1146</w:t>
      </w:r>
      <w:r w:rsidRPr="000544D0">
        <w:rPr>
          <w:b/>
          <w:szCs w:val="22"/>
        </w:rPr>
        <w:t xml:space="preserve"> – </w:t>
      </w:r>
      <w:r w:rsidR="00B750B9" w:rsidRPr="000544D0">
        <w:rPr>
          <w:b/>
          <w:szCs w:val="22"/>
        </w:rPr>
        <w:t>Thermolysin</w:t>
      </w:r>
      <w:r w:rsidR="004F60EB" w:rsidRPr="000544D0">
        <w:rPr>
          <w:b/>
          <w:szCs w:val="22"/>
        </w:rPr>
        <w:t xml:space="preserve"> </w:t>
      </w:r>
      <w:r w:rsidRPr="000544D0">
        <w:rPr>
          <w:b/>
          <w:szCs w:val="22"/>
        </w:rPr>
        <w:t xml:space="preserve">from </w:t>
      </w:r>
      <w:r w:rsidR="00F41815" w:rsidRPr="00895885">
        <w:rPr>
          <w:b/>
          <w:i/>
          <w:iCs/>
          <w:szCs w:val="22"/>
          <w:lang w:val="en-AU" w:bidi="ar-SA"/>
        </w:rPr>
        <w:t>Anoxybacillus</w:t>
      </w:r>
      <w:r w:rsidR="00F41815" w:rsidRPr="000544D0">
        <w:rPr>
          <w:b/>
          <w:i/>
          <w:szCs w:val="22"/>
        </w:rPr>
        <w:t xml:space="preserve"> </w:t>
      </w:r>
      <w:r w:rsidR="00915DD4" w:rsidRPr="000544D0">
        <w:rPr>
          <w:b/>
          <w:i/>
          <w:szCs w:val="22"/>
        </w:rPr>
        <w:t>caldiproteolyticus</w:t>
      </w:r>
      <w:r w:rsidRPr="000544D0">
        <w:rPr>
          <w:b/>
          <w:szCs w:val="22"/>
        </w:rPr>
        <w:t xml:space="preserve"> as a Processing Aid (Enzyme)) Variation</w:t>
      </w:r>
    </w:p>
    <w:p w14:paraId="20549C3E" w14:textId="77777777" w:rsidR="00A35DDA" w:rsidRPr="000544D0" w:rsidRDefault="00A35DDA" w:rsidP="00A35DDA">
      <w:pPr>
        <w:pBdr>
          <w:bottom w:val="single" w:sz="4" w:space="1" w:color="auto"/>
        </w:pBdr>
        <w:rPr>
          <w:b/>
          <w:szCs w:val="22"/>
        </w:rPr>
      </w:pPr>
    </w:p>
    <w:p w14:paraId="68FAC9C4" w14:textId="77777777" w:rsidR="00A35DDA" w:rsidRPr="000544D0" w:rsidRDefault="00A35DDA" w:rsidP="00A35DDA">
      <w:pPr>
        <w:rPr>
          <w:szCs w:val="22"/>
        </w:rPr>
      </w:pPr>
    </w:p>
    <w:p w14:paraId="781B5CD6" w14:textId="77777777" w:rsidR="00A35DDA" w:rsidRPr="000544D0" w:rsidRDefault="00A35DDA" w:rsidP="00A35DDA">
      <w:pPr>
        <w:rPr>
          <w:szCs w:val="22"/>
        </w:rPr>
      </w:pPr>
      <w:r w:rsidRPr="000544D0">
        <w:rPr>
          <w:szCs w:val="22"/>
        </w:rPr>
        <w:t xml:space="preserve">The Board of Food Standards Australia New Zealand gives notice of the making of this variation under section 92 of the </w:t>
      </w:r>
      <w:r w:rsidRPr="000544D0">
        <w:rPr>
          <w:i/>
          <w:szCs w:val="22"/>
        </w:rPr>
        <w:t>Food Standards Australia New Zealand Act 1991</w:t>
      </w:r>
      <w:r w:rsidRPr="000544D0">
        <w:rPr>
          <w:szCs w:val="22"/>
        </w:rPr>
        <w:t>.  The variation commences on the date specified in clause 3 of this variation.</w:t>
      </w:r>
    </w:p>
    <w:p w14:paraId="4CC56884" w14:textId="77777777" w:rsidR="00A35DDA" w:rsidRPr="000544D0" w:rsidRDefault="00A35DDA" w:rsidP="00A35DDA">
      <w:pPr>
        <w:rPr>
          <w:szCs w:val="22"/>
        </w:rPr>
      </w:pPr>
    </w:p>
    <w:p w14:paraId="4C4763A6" w14:textId="1F0EC5C1" w:rsidR="00A35DDA" w:rsidRPr="000544D0" w:rsidRDefault="00A35DDA" w:rsidP="00A35DDA">
      <w:pPr>
        <w:rPr>
          <w:szCs w:val="22"/>
        </w:rPr>
      </w:pPr>
      <w:r w:rsidRPr="000544D0">
        <w:rPr>
          <w:szCs w:val="22"/>
        </w:rPr>
        <w:t xml:space="preserve">Dated [To be completed by </w:t>
      </w:r>
      <w:r w:rsidR="00A14C25">
        <w:rPr>
          <w:szCs w:val="22"/>
        </w:rPr>
        <w:t>the Delegate</w:t>
      </w:r>
      <w:r w:rsidRPr="000544D0">
        <w:rPr>
          <w:szCs w:val="22"/>
        </w:rPr>
        <w:t>]</w:t>
      </w:r>
    </w:p>
    <w:p w14:paraId="69C6AD05" w14:textId="77777777" w:rsidR="00A35DDA" w:rsidRPr="000544D0" w:rsidRDefault="00A35DDA" w:rsidP="00A35DDA">
      <w:pPr>
        <w:rPr>
          <w:szCs w:val="22"/>
        </w:rPr>
      </w:pPr>
    </w:p>
    <w:p w14:paraId="05E8913B" w14:textId="77777777" w:rsidR="00A35DDA" w:rsidRPr="000544D0" w:rsidRDefault="00A35DDA" w:rsidP="00A35DDA">
      <w:pPr>
        <w:rPr>
          <w:szCs w:val="22"/>
        </w:rPr>
      </w:pPr>
    </w:p>
    <w:p w14:paraId="461833F0" w14:textId="77777777" w:rsidR="00A35DDA" w:rsidRPr="000544D0" w:rsidRDefault="00A35DDA" w:rsidP="00A35DDA">
      <w:pPr>
        <w:rPr>
          <w:szCs w:val="22"/>
        </w:rPr>
      </w:pPr>
    </w:p>
    <w:p w14:paraId="298D5E2C" w14:textId="77777777" w:rsidR="00A35DDA" w:rsidRPr="000544D0" w:rsidRDefault="00A35DDA" w:rsidP="00A35DDA">
      <w:pPr>
        <w:rPr>
          <w:szCs w:val="22"/>
        </w:rPr>
      </w:pPr>
    </w:p>
    <w:p w14:paraId="2F628B9D" w14:textId="77777777" w:rsidR="00A35DDA" w:rsidRPr="000544D0" w:rsidRDefault="00A35DDA" w:rsidP="00A35DDA">
      <w:pPr>
        <w:rPr>
          <w:szCs w:val="22"/>
        </w:rPr>
      </w:pPr>
    </w:p>
    <w:p w14:paraId="4232293B" w14:textId="08C385E4" w:rsidR="00A14C25" w:rsidRPr="000A7291" w:rsidRDefault="00A14C25" w:rsidP="00A14C25">
      <w:pPr>
        <w:rPr>
          <w:color w:val="FF0000"/>
          <w:sz w:val="20"/>
        </w:rPr>
      </w:pPr>
      <w:r>
        <w:rPr>
          <w:color w:val="FF0000"/>
          <w:sz w:val="20"/>
        </w:rPr>
        <w:t>[</w:t>
      </w:r>
      <w:r w:rsidRPr="000A7291">
        <w:rPr>
          <w:color w:val="FF0000"/>
          <w:sz w:val="20"/>
        </w:rPr>
        <w:t xml:space="preserve">Insert </w:t>
      </w:r>
      <w:r>
        <w:rPr>
          <w:color w:val="FF0000"/>
          <w:sz w:val="20"/>
        </w:rPr>
        <w:t>Name and Position</w:t>
      </w:r>
      <w:r w:rsidRPr="000A7291">
        <w:rPr>
          <w:color w:val="FF0000"/>
          <w:sz w:val="20"/>
        </w:rPr>
        <w:t xml:space="preserve"> of Delegate</w:t>
      </w:r>
      <w:r>
        <w:rPr>
          <w:color w:val="FF0000"/>
          <w:sz w:val="20"/>
        </w:rPr>
        <w:t>]</w:t>
      </w:r>
    </w:p>
    <w:p w14:paraId="7292C067" w14:textId="6D4A527D" w:rsidR="00A35DDA" w:rsidRPr="000544D0" w:rsidRDefault="00A35DDA" w:rsidP="00A35DDA">
      <w:pPr>
        <w:rPr>
          <w:szCs w:val="22"/>
        </w:rPr>
      </w:pPr>
    </w:p>
    <w:p w14:paraId="02EC1C5E" w14:textId="77777777" w:rsidR="00A35DDA" w:rsidRPr="000544D0" w:rsidRDefault="00A35DDA" w:rsidP="00A35DDA">
      <w:pPr>
        <w:rPr>
          <w:szCs w:val="22"/>
        </w:rPr>
      </w:pPr>
      <w:r w:rsidRPr="000544D0">
        <w:rPr>
          <w:szCs w:val="22"/>
        </w:rPr>
        <w:t>Delegate of the Board of Food Standards Australia New Zealand</w:t>
      </w:r>
    </w:p>
    <w:p w14:paraId="3708F9AC" w14:textId="77777777" w:rsidR="00A35DDA" w:rsidRPr="000544D0" w:rsidRDefault="00A35DDA" w:rsidP="00A35DDA">
      <w:pPr>
        <w:rPr>
          <w:szCs w:val="22"/>
        </w:rPr>
      </w:pPr>
    </w:p>
    <w:p w14:paraId="6E5F05D0" w14:textId="77777777" w:rsidR="00A35DDA" w:rsidRPr="000544D0" w:rsidRDefault="00A35DDA" w:rsidP="00A35DDA">
      <w:pPr>
        <w:rPr>
          <w:szCs w:val="22"/>
        </w:rPr>
      </w:pPr>
    </w:p>
    <w:p w14:paraId="4E6EF499" w14:textId="77777777" w:rsidR="00A35DDA" w:rsidRPr="000544D0" w:rsidRDefault="00A35DDA" w:rsidP="00A35DDA">
      <w:pPr>
        <w:rPr>
          <w:szCs w:val="22"/>
        </w:rPr>
      </w:pPr>
    </w:p>
    <w:p w14:paraId="11AA6AFA" w14:textId="77777777" w:rsidR="00A35DDA" w:rsidRPr="000544D0" w:rsidRDefault="00A35DDA" w:rsidP="00A35DDA">
      <w:pPr>
        <w:rPr>
          <w:szCs w:val="22"/>
        </w:rPr>
      </w:pPr>
    </w:p>
    <w:p w14:paraId="51D6A0AE" w14:textId="77777777" w:rsidR="00A35DDA" w:rsidRPr="000544D0" w:rsidRDefault="00A35DDA" w:rsidP="00A35DDA">
      <w:pPr>
        <w:rPr>
          <w:szCs w:val="22"/>
        </w:rPr>
      </w:pPr>
    </w:p>
    <w:p w14:paraId="58A7D37E" w14:textId="20DC0CBB" w:rsidR="00A35DDA" w:rsidRPr="000544D0" w:rsidRDefault="00A35DDA" w:rsidP="00A35DDA">
      <w:pPr>
        <w:pBdr>
          <w:top w:val="single" w:sz="4" w:space="1" w:color="auto"/>
          <w:left w:val="single" w:sz="4" w:space="4" w:color="auto"/>
          <w:bottom w:val="single" w:sz="4" w:space="1" w:color="auto"/>
          <w:right w:val="single" w:sz="4" w:space="4" w:color="auto"/>
        </w:pBdr>
        <w:rPr>
          <w:szCs w:val="22"/>
          <w:lang w:val="en-AU"/>
        </w:rPr>
      </w:pPr>
      <w:r w:rsidRPr="000544D0">
        <w:rPr>
          <w:b/>
          <w:szCs w:val="22"/>
          <w:lang w:val="en-AU"/>
        </w:rPr>
        <w:t>Note:</w:t>
      </w:r>
    </w:p>
    <w:p w14:paraId="396969A8" w14:textId="77777777" w:rsidR="00A35DDA" w:rsidRPr="000544D0" w:rsidRDefault="00A35DDA" w:rsidP="00A35DDA">
      <w:pPr>
        <w:pBdr>
          <w:top w:val="single" w:sz="4" w:space="1" w:color="auto"/>
          <w:left w:val="single" w:sz="4" w:space="4" w:color="auto"/>
          <w:bottom w:val="single" w:sz="4" w:space="1" w:color="auto"/>
          <w:right w:val="single" w:sz="4" w:space="4" w:color="auto"/>
        </w:pBdr>
        <w:rPr>
          <w:szCs w:val="22"/>
          <w:lang w:val="en-AU"/>
        </w:rPr>
      </w:pPr>
      <w:r w:rsidRPr="000544D0">
        <w:rPr>
          <w:szCs w:val="22"/>
          <w:lang w:val="en-AU"/>
        </w:rPr>
        <w:t xml:space="preserve">This variation will be published in the Commonwealth of Australia Gazette No. FSC </w:t>
      </w:r>
      <w:r w:rsidRPr="000544D0">
        <w:rPr>
          <w:color w:val="FF0000"/>
          <w:szCs w:val="22"/>
          <w:lang w:val="en-AU"/>
        </w:rPr>
        <w:t>XX on XX Month 20XX</w:t>
      </w:r>
      <w:r w:rsidRPr="000544D0">
        <w:rPr>
          <w:szCs w:val="22"/>
          <w:lang w:val="en-AU"/>
        </w:rPr>
        <w:t xml:space="preserve">. This means that this date is the gazettal date for the purposes of clause 3 of the variation. </w:t>
      </w:r>
    </w:p>
    <w:p w14:paraId="1C07268E" w14:textId="77777777" w:rsidR="00A35DDA" w:rsidRDefault="00A35DDA" w:rsidP="00A35DDA">
      <w:pPr>
        <w:rPr>
          <w:sz w:val="20"/>
        </w:rPr>
      </w:pPr>
    </w:p>
    <w:p w14:paraId="595EC4DD" w14:textId="77777777" w:rsidR="00A35DDA" w:rsidRDefault="00A35DDA" w:rsidP="00A35DDA">
      <w:pPr>
        <w:widowControl/>
        <w:rPr>
          <w:sz w:val="20"/>
        </w:rPr>
      </w:pPr>
      <w:r>
        <w:rPr>
          <w:sz w:val="20"/>
        </w:rPr>
        <w:br w:type="page"/>
      </w:r>
    </w:p>
    <w:p w14:paraId="23B343BB" w14:textId="77777777" w:rsidR="00A35DDA" w:rsidRPr="000544D0" w:rsidRDefault="00A35DDA" w:rsidP="00A35DDA">
      <w:pPr>
        <w:spacing w:before="120" w:after="120"/>
        <w:ind w:left="851" w:hanging="851"/>
        <w:rPr>
          <w:b/>
          <w:szCs w:val="22"/>
        </w:rPr>
      </w:pPr>
      <w:r w:rsidRPr="000747AF">
        <w:rPr>
          <w:b/>
          <w:sz w:val="20"/>
        </w:rPr>
        <w:lastRenderedPageBreak/>
        <w:t>1</w:t>
      </w:r>
      <w:r w:rsidRPr="000747AF">
        <w:rPr>
          <w:b/>
          <w:sz w:val="20"/>
        </w:rPr>
        <w:tab/>
      </w:r>
      <w:r w:rsidRPr="000544D0">
        <w:rPr>
          <w:b/>
          <w:szCs w:val="22"/>
        </w:rPr>
        <w:t>Name</w:t>
      </w:r>
    </w:p>
    <w:p w14:paraId="2F3A108F" w14:textId="48C992E6" w:rsidR="00A35DDA" w:rsidRPr="000544D0" w:rsidRDefault="00A35DDA" w:rsidP="00A35DDA">
      <w:pPr>
        <w:widowControl/>
        <w:spacing w:before="120" w:after="120"/>
        <w:rPr>
          <w:szCs w:val="22"/>
        </w:rPr>
      </w:pPr>
      <w:r w:rsidRPr="000544D0">
        <w:rPr>
          <w:szCs w:val="22"/>
        </w:rPr>
        <w:t xml:space="preserve">This instrument is the </w:t>
      </w:r>
      <w:r w:rsidRPr="000544D0">
        <w:rPr>
          <w:i/>
          <w:szCs w:val="22"/>
        </w:rPr>
        <w:t xml:space="preserve">Food Standards (Application </w:t>
      </w:r>
      <w:r w:rsidR="008426D6" w:rsidRPr="000544D0">
        <w:rPr>
          <w:i/>
          <w:szCs w:val="22"/>
        </w:rPr>
        <w:t>A1146</w:t>
      </w:r>
      <w:r w:rsidRPr="000544D0">
        <w:rPr>
          <w:i/>
          <w:szCs w:val="22"/>
        </w:rPr>
        <w:t xml:space="preserve"> – </w:t>
      </w:r>
      <w:r w:rsidR="004F60EB" w:rsidRPr="000544D0">
        <w:rPr>
          <w:i/>
          <w:szCs w:val="22"/>
        </w:rPr>
        <w:t>Thermolysin from</w:t>
      </w:r>
      <w:r w:rsidRPr="000544D0">
        <w:rPr>
          <w:i/>
          <w:szCs w:val="22"/>
        </w:rPr>
        <w:t xml:space="preserve"> </w:t>
      </w:r>
      <w:r w:rsidR="00915DD4" w:rsidRPr="000544D0">
        <w:rPr>
          <w:i/>
          <w:szCs w:val="22"/>
        </w:rPr>
        <w:t>A. caldiproteolyticus</w:t>
      </w:r>
      <w:r w:rsidRPr="000544D0">
        <w:rPr>
          <w:i/>
          <w:szCs w:val="22"/>
        </w:rPr>
        <w:t xml:space="preserve"> as a Processing Aid (Enzyme)) Variation</w:t>
      </w:r>
      <w:r w:rsidRPr="000544D0">
        <w:rPr>
          <w:szCs w:val="22"/>
        </w:rPr>
        <w:t>.</w:t>
      </w:r>
    </w:p>
    <w:p w14:paraId="619A1D8E" w14:textId="77777777" w:rsidR="00A35DDA" w:rsidRPr="000544D0" w:rsidRDefault="00A35DDA" w:rsidP="00A35DDA">
      <w:pPr>
        <w:spacing w:before="120" w:after="120"/>
        <w:ind w:left="851" w:hanging="851"/>
        <w:rPr>
          <w:b/>
          <w:szCs w:val="22"/>
        </w:rPr>
      </w:pPr>
      <w:r w:rsidRPr="000544D0">
        <w:rPr>
          <w:b/>
          <w:szCs w:val="22"/>
        </w:rPr>
        <w:t>2</w:t>
      </w:r>
      <w:r w:rsidRPr="000544D0">
        <w:rPr>
          <w:b/>
          <w:szCs w:val="22"/>
        </w:rPr>
        <w:tab/>
        <w:t xml:space="preserve">Variation to a standard in the </w:t>
      </w:r>
      <w:r w:rsidRPr="000544D0">
        <w:rPr>
          <w:b/>
          <w:i/>
          <w:szCs w:val="22"/>
        </w:rPr>
        <w:t>Australia New Zealand Food Standards Code</w:t>
      </w:r>
    </w:p>
    <w:p w14:paraId="706CC818" w14:textId="77777777" w:rsidR="00A35DDA" w:rsidRPr="000544D0" w:rsidRDefault="00A35DDA" w:rsidP="00A35DDA">
      <w:pPr>
        <w:widowControl/>
        <w:spacing w:before="120" w:after="120"/>
        <w:rPr>
          <w:szCs w:val="22"/>
        </w:rPr>
      </w:pPr>
      <w:r w:rsidRPr="000544D0">
        <w:rPr>
          <w:szCs w:val="22"/>
        </w:rPr>
        <w:t xml:space="preserve">The Schedule varies a Standard in the </w:t>
      </w:r>
      <w:r w:rsidRPr="000544D0">
        <w:rPr>
          <w:i/>
          <w:szCs w:val="22"/>
        </w:rPr>
        <w:t>Australia New Zealand Food Standards Code</w:t>
      </w:r>
      <w:r w:rsidRPr="000544D0">
        <w:rPr>
          <w:szCs w:val="22"/>
        </w:rPr>
        <w:t>.</w:t>
      </w:r>
    </w:p>
    <w:p w14:paraId="1845360F" w14:textId="77777777" w:rsidR="00A35DDA" w:rsidRPr="000544D0" w:rsidRDefault="00A35DDA" w:rsidP="00A35DDA">
      <w:pPr>
        <w:spacing w:before="120" w:after="120"/>
        <w:ind w:left="851" w:hanging="851"/>
        <w:rPr>
          <w:b/>
          <w:szCs w:val="22"/>
        </w:rPr>
      </w:pPr>
      <w:r w:rsidRPr="000544D0">
        <w:rPr>
          <w:b/>
          <w:szCs w:val="22"/>
        </w:rPr>
        <w:t>3</w:t>
      </w:r>
      <w:r w:rsidRPr="000544D0">
        <w:rPr>
          <w:b/>
          <w:szCs w:val="22"/>
        </w:rPr>
        <w:tab/>
        <w:t>Commencement</w:t>
      </w:r>
    </w:p>
    <w:p w14:paraId="3237A229" w14:textId="77777777" w:rsidR="00A35DDA" w:rsidRPr="000544D0" w:rsidRDefault="00A35DDA" w:rsidP="00A35DDA">
      <w:pPr>
        <w:widowControl/>
        <w:spacing w:before="120" w:after="120"/>
        <w:rPr>
          <w:szCs w:val="22"/>
        </w:rPr>
      </w:pPr>
      <w:r w:rsidRPr="000544D0">
        <w:rPr>
          <w:szCs w:val="22"/>
        </w:rPr>
        <w:t xml:space="preserve">The variation commences on the date of gazettal. </w:t>
      </w:r>
    </w:p>
    <w:p w14:paraId="1B54C807" w14:textId="77777777" w:rsidR="00A35DDA" w:rsidRPr="000544D0" w:rsidRDefault="00A35DDA" w:rsidP="00A35DDA">
      <w:pPr>
        <w:jc w:val="center"/>
        <w:rPr>
          <w:b/>
          <w:szCs w:val="22"/>
        </w:rPr>
      </w:pPr>
      <w:r w:rsidRPr="000544D0">
        <w:rPr>
          <w:b/>
          <w:szCs w:val="22"/>
        </w:rPr>
        <w:t>Schedule</w:t>
      </w:r>
    </w:p>
    <w:p w14:paraId="42366AAA" w14:textId="78FF6682" w:rsidR="00F95FC0" w:rsidRPr="000544D0" w:rsidRDefault="00F95FC0" w:rsidP="00F95FC0">
      <w:pPr>
        <w:widowControl/>
        <w:tabs>
          <w:tab w:val="left" w:pos="851"/>
        </w:tabs>
        <w:spacing w:before="120" w:after="120"/>
        <w:rPr>
          <w:szCs w:val="22"/>
          <w:lang w:bidi="ar-SA"/>
        </w:rPr>
      </w:pPr>
      <w:r w:rsidRPr="000544D0">
        <w:rPr>
          <w:b/>
          <w:szCs w:val="22"/>
        </w:rPr>
        <w:t>[1]</w:t>
      </w:r>
      <w:r w:rsidRPr="000544D0">
        <w:rPr>
          <w:b/>
          <w:szCs w:val="22"/>
        </w:rPr>
        <w:tab/>
        <w:t xml:space="preserve"> Schedule 18</w:t>
      </w:r>
      <w:r w:rsidRPr="000544D0">
        <w:rPr>
          <w:szCs w:val="22"/>
        </w:rPr>
        <w:t xml:space="preserve"> is varied by</w:t>
      </w:r>
      <w:r w:rsidRPr="000544D0">
        <w:rPr>
          <w:color w:val="FF0000"/>
          <w:szCs w:val="22"/>
          <w:lang w:bidi="ar-SA"/>
        </w:rPr>
        <w:t xml:space="preserve"> </w:t>
      </w:r>
      <w:r w:rsidRPr="000544D0">
        <w:rPr>
          <w:szCs w:val="22"/>
          <w:lang w:bidi="ar-SA"/>
        </w:rPr>
        <w:t>inserting in the table to subsection S18—9(3), in alphabetical order</w:t>
      </w:r>
    </w:p>
    <w:tbl>
      <w:tblPr>
        <w:tblStyle w:val="TableGrid2"/>
        <w:tblW w:w="907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chedule 18 variation "/>
      </w:tblPr>
      <w:tblGrid>
        <w:gridCol w:w="3121"/>
        <w:gridCol w:w="3604"/>
        <w:gridCol w:w="2350"/>
      </w:tblGrid>
      <w:tr w:rsidR="00F95FC0" w:rsidRPr="000544D0" w14:paraId="3563C2CF" w14:textId="77777777" w:rsidTr="00472CF7">
        <w:trPr>
          <w:trHeight w:val="670"/>
          <w:tblHeader/>
          <w:jc w:val="center"/>
        </w:trPr>
        <w:tc>
          <w:tcPr>
            <w:tcW w:w="3121" w:type="dxa"/>
            <w:vAlign w:val="center"/>
          </w:tcPr>
          <w:p w14:paraId="44639746" w14:textId="08D77F40" w:rsidR="00F95FC0" w:rsidRPr="00F95FC0" w:rsidRDefault="00F95FC0" w:rsidP="00F95FC0">
            <w:pPr>
              <w:keepLines/>
              <w:widowControl/>
              <w:tabs>
                <w:tab w:val="right" w:pos="3969"/>
              </w:tabs>
              <w:rPr>
                <w:szCs w:val="22"/>
                <w:lang w:eastAsia="en-AU" w:bidi="ar-SA"/>
              </w:rPr>
            </w:pPr>
            <w:r w:rsidRPr="003D34DC">
              <w:rPr>
                <w:b/>
                <w:i/>
              </w:rPr>
              <w:t>Substance</w:t>
            </w:r>
          </w:p>
        </w:tc>
        <w:tc>
          <w:tcPr>
            <w:tcW w:w="3604" w:type="dxa"/>
            <w:vAlign w:val="center"/>
          </w:tcPr>
          <w:p w14:paraId="3BAF3F75" w14:textId="4E39785D" w:rsidR="00F95FC0" w:rsidRPr="00F95FC0" w:rsidRDefault="00F95FC0" w:rsidP="00F95FC0">
            <w:pPr>
              <w:keepLines/>
              <w:widowControl/>
              <w:tabs>
                <w:tab w:val="right" w:pos="3969"/>
              </w:tabs>
              <w:rPr>
                <w:szCs w:val="22"/>
                <w:lang w:eastAsia="en-AU" w:bidi="ar-SA"/>
              </w:rPr>
            </w:pPr>
            <w:r w:rsidRPr="003D34DC">
              <w:rPr>
                <w:b/>
                <w:i/>
              </w:rPr>
              <w:t>Technological Purpose</w:t>
            </w:r>
            <w:r>
              <w:rPr>
                <w:b/>
                <w:i/>
              </w:rPr>
              <w:t xml:space="preserve"> and food</w:t>
            </w:r>
          </w:p>
        </w:tc>
        <w:tc>
          <w:tcPr>
            <w:tcW w:w="2350" w:type="dxa"/>
            <w:vAlign w:val="center"/>
          </w:tcPr>
          <w:p w14:paraId="4D223BFA" w14:textId="0DCB77E2" w:rsidR="00F95FC0" w:rsidRPr="00F95FC0" w:rsidRDefault="00F95FC0" w:rsidP="00F95FC0">
            <w:pPr>
              <w:keepLines/>
              <w:widowControl/>
              <w:tabs>
                <w:tab w:val="right" w:pos="3969"/>
              </w:tabs>
              <w:rPr>
                <w:szCs w:val="22"/>
                <w:lang w:eastAsia="en-AU" w:bidi="ar-SA"/>
              </w:rPr>
            </w:pPr>
            <w:r>
              <w:rPr>
                <w:b/>
                <w:i/>
              </w:rPr>
              <w:t>Maximum permitted level (mg/kg)</w:t>
            </w:r>
          </w:p>
        </w:tc>
      </w:tr>
      <w:tr w:rsidR="00F95FC0" w:rsidRPr="000544D0" w14:paraId="78DA20B0" w14:textId="77777777" w:rsidTr="00F95FC0">
        <w:trPr>
          <w:jc w:val="center"/>
        </w:trPr>
        <w:tc>
          <w:tcPr>
            <w:tcW w:w="3121" w:type="dxa"/>
            <w:hideMark/>
          </w:tcPr>
          <w:p w14:paraId="3CA6E615" w14:textId="76B02D98" w:rsidR="00F95FC0" w:rsidRPr="000544D0" w:rsidRDefault="00F95FC0" w:rsidP="00F95FC0">
            <w:pPr>
              <w:keepLines/>
              <w:widowControl/>
              <w:tabs>
                <w:tab w:val="right" w:pos="3969"/>
              </w:tabs>
              <w:rPr>
                <w:szCs w:val="22"/>
                <w:lang w:eastAsia="en-AU" w:bidi="ar-SA"/>
              </w:rPr>
            </w:pPr>
            <w:r w:rsidRPr="000544D0">
              <w:rPr>
                <w:szCs w:val="22"/>
                <w:lang w:eastAsia="en-AU" w:bidi="ar-SA"/>
              </w:rPr>
              <w:t xml:space="preserve">Thermolysin (EC 3.4.24.27) sourced from </w:t>
            </w:r>
            <w:r w:rsidRPr="000544D0">
              <w:rPr>
                <w:i/>
                <w:szCs w:val="22"/>
                <w:lang w:eastAsia="en-AU" w:bidi="ar-SA"/>
              </w:rPr>
              <w:t>Anoxybacillus caldiproteolyticus</w:t>
            </w:r>
            <w:r w:rsidRPr="000544D0">
              <w:rPr>
                <w:szCs w:val="22"/>
                <w:lang w:eastAsia="en-AU" w:bidi="ar-SA"/>
              </w:rPr>
              <w:t xml:space="preserve"> strain TP-7</w:t>
            </w:r>
          </w:p>
        </w:tc>
        <w:tc>
          <w:tcPr>
            <w:tcW w:w="3604" w:type="dxa"/>
            <w:hideMark/>
          </w:tcPr>
          <w:p w14:paraId="69D583CD" w14:textId="77777777" w:rsidR="00F95FC0" w:rsidRPr="000544D0" w:rsidRDefault="00F95FC0" w:rsidP="00F95FC0">
            <w:pPr>
              <w:keepLines/>
              <w:widowControl/>
              <w:tabs>
                <w:tab w:val="right" w:pos="3969"/>
              </w:tabs>
              <w:rPr>
                <w:szCs w:val="22"/>
                <w:lang w:eastAsia="en-AU" w:bidi="ar-SA"/>
              </w:rPr>
            </w:pPr>
            <w:r w:rsidRPr="000544D0">
              <w:rPr>
                <w:szCs w:val="22"/>
                <w:lang w:eastAsia="en-AU" w:bidi="ar-SA"/>
              </w:rPr>
              <w:t>To catalyse the hydrolysis of peptide bonds during the manufacture and/or processing of the following types of food:</w:t>
            </w:r>
          </w:p>
          <w:p w14:paraId="3F2E36F3" w14:textId="77777777" w:rsidR="00F95FC0" w:rsidRPr="000544D0" w:rsidRDefault="00F95FC0" w:rsidP="00F95FC0">
            <w:pPr>
              <w:keepLines/>
              <w:widowControl/>
              <w:numPr>
                <w:ilvl w:val="0"/>
                <w:numId w:val="14"/>
              </w:numPr>
              <w:tabs>
                <w:tab w:val="left" w:pos="851"/>
              </w:tabs>
              <w:contextualSpacing/>
              <w:rPr>
                <w:szCs w:val="22"/>
                <w:lang w:eastAsia="en-AU" w:bidi="ar-SA"/>
              </w:rPr>
            </w:pPr>
            <w:r w:rsidRPr="000544D0">
              <w:rPr>
                <w:szCs w:val="22"/>
                <w:lang w:eastAsia="en-AU" w:bidi="ar-SA"/>
              </w:rPr>
              <w:t xml:space="preserve">dairy; </w:t>
            </w:r>
          </w:p>
          <w:p w14:paraId="6AFEDC32" w14:textId="77777777" w:rsidR="00F95FC0" w:rsidRPr="000544D0" w:rsidRDefault="00F95FC0" w:rsidP="00F95FC0">
            <w:pPr>
              <w:keepLines/>
              <w:widowControl/>
              <w:numPr>
                <w:ilvl w:val="0"/>
                <w:numId w:val="14"/>
              </w:numPr>
              <w:tabs>
                <w:tab w:val="left" w:pos="851"/>
              </w:tabs>
              <w:contextualSpacing/>
              <w:rPr>
                <w:szCs w:val="22"/>
                <w:lang w:eastAsia="en-AU" w:bidi="ar-SA"/>
              </w:rPr>
            </w:pPr>
            <w:r w:rsidRPr="000544D0">
              <w:rPr>
                <w:szCs w:val="22"/>
                <w:lang w:eastAsia="en-AU" w:bidi="ar-SA"/>
              </w:rPr>
              <w:t xml:space="preserve">egg; </w:t>
            </w:r>
          </w:p>
          <w:p w14:paraId="4E5254C9" w14:textId="77777777" w:rsidR="00F95FC0" w:rsidRPr="000544D0" w:rsidRDefault="00F95FC0" w:rsidP="00F95FC0">
            <w:pPr>
              <w:keepLines/>
              <w:widowControl/>
              <w:numPr>
                <w:ilvl w:val="0"/>
                <w:numId w:val="14"/>
              </w:numPr>
              <w:tabs>
                <w:tab w:val="left" w:pos="851"/>
                <w:tab w:val="right" w:pos="3969"/>
              </w:tabs>
              <w:contextualSpacing/>
              <w:rPr>
                <w:szCs w:val="22"/>
                <w:lang w:eastAsia="en-AU" w:bidi="ar-SA"/>
              </w:rPr>
            </w:pPr>
            <w:r w:rsidRPr="000544D0">
              <w:rPr>
                <w:szCs w:val="22"/>
                <w:lang w:eastAsia="en-AU" w:bidi="ar-SA"/>
              </w:rPr>
              <w:t>meat;</w:t>
            </w:r>
          </w:p>
          <w:p w14:paraId="478B8F24" w14:textId="77777777" w:rsidR="00F95FC0" w:rsidRPr="000544D0" w:rsidRDefault="00F95FC0" w:rsidP="00F95FC0">
            <w:pPr>
              <w:keepLines/>
              <w:widowControl/>
              <w:numPr>
                <w:ilvl w:val="0"/>
                <w:numId w:val="14"/>
              </w:numPr>
              <w:tabs>
                <w:tab w:val="left" w:pos="851"/>
                <w:tab w:val="right" w:pos="3969"/>
              </w:tabs>
              <w:contextualSpacing/>
              <w:rPr>
                <w:szCs w:val="22"/>
                <w:lang w:eastAsia="en-AU" w:bidi="ar-SA"/>
              </w:rPr>
            </w:pPr>
            <w:r w:rsidRPr="000544D0">
              <w:rPr>
                <w:szCs w:val="22"/>
                <w:lang w:eastAsia="en-AU" w:bidi="ar-SA"/>
              </w:rPr>
              <w:t>fish;</w:t>
            </w:r>
          </w:p>
          <w:p w14:paraId="4FFF360A" w14:textId="77777777" w:rsidR="00F95FC0" w:rsidRPr="000544D0" w:rsidRDefault="00F95FC0" w:rsidP="00F95FC0">
            <w:pPr>
              <w:keepLines/>
              <w:widowControl/>
              <w:numPr>
                <w:ilvl w:val="0"/>
                <w:numId w:val="14"/>
              </w:numPr>
              <w:tabs>
                <w:tab w:val="left" w:pos="851"/>
                <w:tab w:val="right" w:pos="3969"/>
              </w:tabs>
              <w:contextualSpacing/>
              <w:rPr>
                <w:szCs w:val="22"/>
                <w:lang w:eastAsia="en-AU" w:bidi="ar-SA"/>
              </w:rPr>
            </w:pPr>
            <w:r w:rsidRPr="000544D0">
              <w:rPr>
                <w:szCs w:val="22"/>
                <w:lang w:eastAsia="en-AU" w:bidi="ar-SA"/>
              </w:rPr>
              <w:t>protein;</w:t>
            </w:r>
          </w:p>
          <w:p w14:paraId="0CC8EEEF" w14:textId="77777777" w:rsidR="00F95FC0" w:rsidRPr="000544D0" w:rsidRDefault="00F95FC0" w:rsidP="00F95FC0">
            <w:pPr>
              <w:keepLines/>
              <w:widowControl/>
              <w:numPr>
                <w:ilvl w:val="0"/>
                <w:numId w:val="14"/>
              </w:numPr>
              <w:tabs>
                <w:tab w:val="left" w:pos="851"/>
                <w:tab w:val="right" w:pos="3969"/>
              </w:tabs>
              <w:contextualSpacing/>
              <w:rPr>
                <w:szCs w:val="22"/>
                <w:lang w:eastAsia="en-AU" w:bidi="ar-SA"/>
              </w:rPr>
            </w:pPr>
            <w:r w:rsidRPr="000544D0">
              <w:rPr>
                <w:szCs w:val="22"/>
                <w:lang w:eastAsia="en-AU" w:bidi="ar-SA"/>
              </w:rPr>
              <w:t>yeast; and</w:t>
            </w:r>
          </w:p>
          <w:p w14:paraId="1382FD60" w14:textId="323BF1EF" w:rsidR="00F95FC0" w:rsidRPr="000544D0" w:rsidRDefault="00F95FC0" w:rsidP="00F95FC0">
            <w:pPr>
              <w:keepLines/>
              <w:widowControl/>
              <w:numPr>
                <w:ilvl w:val="0"/>
                <w:numId w:val="14"/>
              </w:numPr>
              <w:tabs>
                <w:tab w:val="left" w:pos="851"/>
                <w:tab w:val="right" w:pos="3969"/>
              </w:tabs>
              <w:contextualSpacing/>
              <w:rPr>
                <w:szCs w:val="22"/>
                <w:lang w:eastAsia="en-AU" w:bidi="ar-SA"/>
              </w:rPr>
            </w:pPr>
            <w:r w:rsidRPr="000544D0">
              <w:rPr>
                <w:szCs w:val="22"/>
                <w:lang w:eastAsia="en-AU" w:bidi="ar-SA"/>
              </w:rPr>
              <w:t>flavouring</w:t>
            </w:r>
          </w:p>
          <w:p w14:paraId="233F0858" w14:textId="77777777" w:rsidR="00F95FC0" w:rsidRPr="000544D0" w:rsidRDefault="00F95FC0" w:rsidP="00F95FC0">
            <w:pPr>
              <w:keepLines/>
              <w:widowControl/>
              <w:tabs>
                <w:tab w:val="right" w:pos="3969"/>
              </w:tabs>
              <w:rPr>
                <w:rFonts w:eastAsia="Times New Roman"/>
                <w:szCs w:val="22"/>
                <w:lang w:eastAsia="en-AU" w:bidi="ar-SA"/>
              </w:rPr>
            </w:pPr>
          </w:p>
          <w:p w14:paraId="442FE1D9" w14:textId="77777777" w:rsidR="00F95FC0" w:rsidRPr="000544D0" w:rsidRDefault="00F95FC0" w:rsidP="00F95FC0">
            <w:pPr>
              <w:keepLines/>
              <w:widowControl/>
              <w:tabs>
                <w:tab w:val="right" w:pos="3969"/>
              </w:tabs>
              <w:rPr>
                <w:szCs w:val="22"/>
                <w:lang w:bidi="ar-SA"/>
              </w:rPr>
            </w:pPr>
            <w:r w:rsidRPr="000544D0">
              <w:rPr>
                <w:rFonts w:eastAsia="Times New Roman"/>
                <w:szCs w:val="22"/>
                <w:lang w:eastAsia="en-AU" w:bidi="ar-SA"/>
              </w:rPr>
              <w:tab/>
            </w:r>
          </w:p>
        </w:tc>
        <w:tc>
          <w:tcPr>
            <w:tcW w:w="2350" w:type="dxa"/>
            <w:hideMark/>
          </w:tcPr>
          <w:p w14:paraId="7BF81F6A" w14:textId="77777777" w:rsidR="00F95FC0" w:rsidRPr="000544D0" w:rsidRDefault="00F95FC0" w:rsidP="00F95FC0">
            <w:pPr>
              <w:keepLines/>
              <w:widowControl/>
              <w:tabs>
                <w:tab w:val="right" w:pos="3969"/>
              </w:tabs>
              <w:rPr>
                <w:szCs w:val="22"/>
                <w:lang w:bidi="ar-SA"/>
              </w:rPr>
            </w:pPr>
            <w:r w:rsidRPr="000544D0">
              <w:rPr>
                <w:szCs w:val="22"/>
                <w:lang w:eastAsia="en-AU" w:bidi="ar-SA"/>
              </w:rPr>
              <w:t>GMP</w:t>
            </w:r>
          </w:p>
        </w:tc>
      </w:tr>
    </w:tbl>
    <w:p w14:paraId="79CD9028" w14:textId="77777777" w:rsidR="00A35DDA" w:rsidRDefault="00A35DDA" w:rsidP="00A35DDA">
      <w:pPr>
        <w:widowControl/>
        <w:spacing w:before="120" w:after="120"/>
        <w:jc w:val="right"/>
        <w:rPr>
          <w:sz w:val="20"/>
        </w:rPr>
      </w:pPr>
      <w:r>
        <w:rPr>
          <w:sz w:val="20"/>
        </w:rPr>
        <w:t>”</w:t>
      </w:r>
    </w:p>
    <w:p w14:paraId="5E2056F9" w14:textId="77777777" w:rsidR="00A35DDA" w:rsidRDefault="00A35DDA" w:rsidP="00A35DDA">
      <w:pPr>
        <w:pStyle w:val="FSCDraftingitem"/>
      </w:pPr>
    </w:p>
    <w:p w14:paraId="6FFAE752" w14:textId="77777777" w:rsidR="00AF06FC" w:rsidRDefault="00AB0275" w:rsidP="00AB0275">
      <w:pPr>
        <w:rPr>
          <w:lang w:val="en-AU" w:eastAsia="en-GB" w:bidi="ar-SA"/>
        </w:rPr>
      </w:pPr>
      <w:r w:rsidRPr="00932F14">
        <w:br w:type="page"/>
      </w:r>
    </w:p>
    <w:p w14:paraId="07891DFE" w14:textId="77777777" w:rsidR="00AB0275" w:rsidRDefault="002C4A91" w:rsidP="00AB0275">
      <w:pPr>
        <w:pStyle w:val="Heading2"/>
        <w:ind w:left="0" w:firstLine="0"/>
      </w:pPr>
      <w:bookmarkStart w:id="112" w:name="_Toc506454359"/>
      <w:r w:rsidRPr="00932F14">
        <w:lastRenderedPageBreak/>
        <w:t xml:space="preserve">Attachment </w:t>
      </w:r>
      <w:r>
        <w:t xml:space="preserve">B – </w:t>
      </w:r>
      <w:r w:rsidR="00AB0275">
        <w:t>Draft Explanatory Statement</w:t>
      </w:r>
      <w:bookmarkEnd w:id="112"/>
    </w:p>
    <w:p w14:paraId="32504DA6"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DBFB1DF" w14:textId="77777777" w:rsidR="00AB0275" w:rsidRDefault="00AB0275" w:rsidP="00AB0275">
      <w:pPr>
        <w:rPr>
          <w:lang w:val="en-AU" w:eastAsia="en-GB" w:bidi="ar-SA"/>
        </w:rPr>
      </w:pPr>
    </w:p>
    <w:p w14:paraId="4E178650"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7887DC8" w14:textId="77777777" w:rsidR="00AB0275" w:rsidRPr="0035500B" w:rsidRDefault="00AB0275" w:rsidP="00AB0275">
      <w:pPr>
        <w:widowControl/>
        <w:autoSpaceDE w:val="0"/>
        <w:autoSpaceDN w:val="0"/>
        <w:adjustRightInd w:val="0"/>
        <w:rPr>
          <w:rFonts w:eastAsia="Calibri" w:cs="Arial"/>
          <w:bCs/>
          <w:szCs w:val="22"/>
          <w:lang w:val="en-AU" w:bidi="ar-SA"/>
        </w:rPr>
      </w:pPr>
    </w:p>
    <w:p w14:paraId="4A4E4FE0" w14:textId="77777777" w:rsidR="00AB0275" w:rsidRPr="0035500B" w:rsidRDefault="00AB0275" w:rsidP="00AB0275">
      <w:pPr>
        <w:widowControl/>
        <w:autoSpaceDE w:val="0"/>
        <w:autoSpaceDN w:val="0"/>
        <w:adjustRightInd w:val="0"/>
        <w:rPr>
          <w:rFonts w:eastAsia="Calibri" w:cs="Arial"/>
          <w:bCs/>
          <w:szCs w:val="22"/>
          <w:lang w:val="en-AU" w:bidi="ar-SA"/>
        </w:rPr>
      </w:pPr>
      <w:r w:rsidRPr="0035500B">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95B25B5" w14:textId="77777777" w:rsidR="00AB0275" w:rsidRPr="0035500B" w:rsidRDefault="00AB0275" w:rsidP="00AB0275">
      <w:pPr>
        <w:widowControl/>
        <w:autoSpaceDE w:val="0"/>
        <w:autoSpaceDN w:val="0"/>
        <w:adjustRightInd w:val="0"/>
        <w:rPr>
          <w:rFonts w:eastAsia="Calibri" w:cs="Arial"/>
          <w:bCs/>
          <w:szCs w:val="22"/>
          <w:lang w:val="en-AU" w:bidi="ar-SA"/>
        </w:rPr>
      </w:pPr>
    </w:p>
    <w:p w14:paraId="15ACB3B5" w14:textId="10B90127" w:rsidR="00AE3091" w:rsidRPr="000D4FB2" w:rsidRDefault="00AB0275" w:rsidP="00AB27F4">
      <w:pPr>
        <w:rPr>
          <w:rFonts w:eastAsia="Calibri"/>
          <w:szCs w:val="22"/>
        </w:rPr>
      </w:pPr>
      <w:r w:rsidRPr="00A35DDA">
        <w:rPr>
          <w:rFonts w:eastAsia="Calibri" w:cs="Arial"/>
          <w:szCs w:val="22"/>
        </w:rPr>
        <w:t xml:space="preserve">FSANZ accepted Application </w:t>
      </w:r>
      <w:r w:rsidR="008426D6">
        <w:rPr>
          <w:rFonts w:eastAsia="Calibri" w:cs="Arial"/>
          <w:szCs w:val="22"/>
        </w:rPr>
        <w:t>A1146</w:t>
      </w:r>
      <w:r w:rsidR="00A35DDA" w:rsidRPr="00A35DDA">
        <w:rPr>
          <w:rFonts w:eastAsia="Calibri" w:cs="Arial"/>
          <w:szCs w:val="22"/>
        </w:rPr>
        <w:t xml:space="preserve"> </w:t>
      </w:r>
      <w:r w:rsidR="00737F4E">
        <w:rPr>
          <w:szCs w:val="22"/>
        </w:rPr>
        <w:t>t</w:t>
      </w:r>
      <w:r w:rsidR="00B750B9">
        <w:rPr>
          <w:szCs w:val="22"/>
        </w:rPr>
        <w:t>hermolysin</w:t>
      </w:r>
      <w:r w:rsidR="00E66C5A">
        <w:rPr>
          <w:szCs w:val="22"/>
        </w:rPr>
        <w:t xml:space="preserve">, </w:t>
      </w:r>
      <w:r w:rsidR="00A35DDA" w:rsidRPr="00A35DDA">
        <w:rPr>
          <w:szCs w:val="22"/>
        </w:rPr>
        <w:t xml:space="preserve">from </w:t>
      </w:r>
      <w:r w:rsidR="007914AF" w:rsidRPr="007914AF">
        <w:rPr>
          <w:szCs w:val="22"/>
        </w:rPr>
        <w:t>Amano</w:t>
      </w:r>
      <w:r w:rsidR="00A35DDA" w:rsidRPr="007914AF">
        <w:rPr>
          <w:szCs w:val="22"/>
        </w:rPr>
        <w:t xml:space="preserve"> </w:t>
      </w:r>
      <w:r w:rsidRPr="00A35DDA">
        <w:rPr>
          <w:rFonts w:eastAsia="Calibri" w:cs="Arial"/>
          <w:szCs w:val="22"/>
        </w:rPr>
        <w:t>which seeks to</w:t>
      </w:r>
      <w:r w:rsidR="00A35DDA" w:rsidRPr="00A35DDA">
        <w:rPr>
          <w:rFonts w:eastAsia="Calibri" w:cs="Arial"/>
          <w:szCs w:val="22"/>
        </w:rPr>
        <w:t xml:space="preserve"> </w:t>
      </w:r>
      <w:r w:rsidR="00A35DDA" w:rsidRPr="00A35DDA">
        <w:t xml:space="preserve">amend </w:t>
      </w:r>
      <w:r w:rsidR="00A35DDA" w:rsidRPr="007914AF">
        <w:t xml:space="preserve">Schedule </w:t>
      </w:r>
      <w:r w:rsidR="00065EA6" w:rsidRPr="007914AF">
        <w:t>18,</w:t>
      </w:r>
      <w:r w:rsidR="00A35DDA" w:rsidRPr="007914AF">
        <w:t xml:space="preserve"> of the Code to permit the use of a new enzyme, </w:t>
      </w:r>
      <w:r w:rsidR="00F95FC0" w:rsidRPr="007914AF">
        <w:t>t</w:t>
      </w:r>
      <w:r w:rsidR="00016E11" w:rsidRPr="007914AF">
        <w:t>hermolysin</w:t>
      </w:r>
      <w:r w:rsidR="007914AF" w:rsidRPr="007914AF">
        <w:t xml:space="preserve"> (</w:t>
      </w:r>
      <w:r w:rsidR="007914AF" w:rsidRPr="007914AF">
        <w:rPr>
          <w:lang w:eastAsia="en-AU"/>
        </w:rPr>
        <w:t>EC</w:t>
      </w:r>
      <w:r w:rsidR="007914AF" w:rsidRPr="007914AF">
        <w:rPr>
          <w:rStyle w:val="FootnoteReference"/>
          <w:lang w:eastAsia="en-AU"/>
        </w:rPr>
        <w:footnoteReference w:id="6"/>
      </w:r>
      <w:r w:rsidR="007914AF" w:rsidRPr="007914AF">
        <w:rPr>
          <w:lang w:eastAsia="en-AU"/>
        </w:rPr>
        <w:t xml:space="preserve"> number 3.4.24.27)</w:t>
      </w:r>
      <w:r w:rsidR="004F60EB">
        <w:t xml:space="preserve"> </w:t>
      </w:r>
      <w:r w:rsidR="007914AF">
        <w:t xml:space="preserve">sourced </w:t>
      </w:r>
      <w:r w:rsidR="00A35DDA" w:rsidRPr="00A35DDA">
        <w:t xml:space="preserve">from </w:t>
      </w:r>
      <w:r w:rsidR="00915DD4" w:rsidRPr="00AB27F4">
        <w:rPr>
          <w:i/>
        </w:rPr>
        <w:t xml:space="preserve">A. </w:t>
      </w:r>
      <w:r w:rsidR="00BE66A9" w:rsidRPr="00AB27F4">
        <w:rPr>
          <w:i/>
        </w:rPr>
        <w:t>caldiproteolyticus</w:t>
      </w:r>
      <w:r w:rsidR="00BE66A9">
        <w:t xml:space="preserve"> </w:t>
      </w:r>
      <w:r w:rsidR="00737F4E">
        <w:t>strain TP-7</w:t>
      </w:r>
      <w:r w:rsidR="00A35DDA" w:rsidRPr="00A35DDA">
        <w:t>, as a processing aid.</w:t>
      </w:r>
      <w:r w:rsidRPr="00A35DDA">
        <w:rPr>
          <w:rFonts w:eastAsia="Calibri" w:cs="Arial"/>
          <w:szCs w:val="22"/>
        </w:rPr>
        <w:t xml:space="preserve"> </w:t>
      </w:r>
    </w:p>
    <w:p w14:paraId="6B16BD1C" w14:textId="77777777" w:rsidR="00AE3091" w:rsidRDefault="00AE3091" w:rsidP="00AE3091">
      <w:pPr>
        <w:pStyle w:val="Title"/>
        <w:jc w:val="left"/>
        <w:rPr>
          <w:rFonts w:eastAsia="Calibri"/>
          <w:i w:val="0"/>
          <w:szCs w:val="22"/>
        </w:rPr>
      </w:pPr>
    </w:p>
    <w:p w14:paraId="78C268B7" w14:textId="246DEE1E" w:rsidR="00AB0275" w:rsidRPr="00A35DDA" w:rsidRDefault="00AB0275" w:rsidP="00AE3091">
      <w:pPr>
        <w:pStyle w:val="Title"/>
        <w:jc w:val="left"/>
        <w:rPr>
          <w:rFonts w:eastAsia="Calibri" w:cs="Arial"/>
          <w:b w:val="0"/>
          <w:bCs w:val="0"/>
          <w:i w:val="0"/>
          <w:szCs w:val="22"/>
        </w:rPr>
      </w:pPr>
      <w:r w:rsidRPr="00AE3091">
        <w:rPr>
          <w:rFonts w:eastAsia="Calibri" w:cs="Arial"/>
          <w:b w:val="0"/>
          <w:bCs w:val="0"/>
          <w:i w:val="0"/>
          <w:szCs w:val="22"/>
        </w:rPr>
        <w:t>The</w:t>
      </w:r>
      <w:r w:rsidRPr="00A35DDA">
        <w:rPr>
          <w:rFonts w:eastAsia="Calibri" w:cs="Arial"/>
          <w:b w:val="0"/>
          <w:bCs w:val="0"/>
          <w:i w:val="0"/>
          <w:szCs w:val="22"/>
        </w:rPr>
        <w:t xml:space="preserve"> Authority considered the Application in accordance with Division 1 of Part 3 and has </w:t>
      </w:r>
      <w:r w:rsidR="00CA3C65" w:rsidRPr="00A35DDA">
        <w:rPr>
          <w:rFonts w:eastAsia="Calibri" w:cs="Arial"/>
          <w:b w:val="0"/>
          <w:bCs w:val="0"/>
          <w:i w:val="0"/>
          <w:szCs w:val="22"/>
        </w:rPr>
        <w:t>prepared</w:t>
      </w:r>
      <w:r w:rsidRPr="00A35DDA">
        <w:rPr>
          <w:rFonts w:eastAsia="Calibri" w:cs="Arial"/>
          <w:b w:val="0"/>
          <w:bCs w:val="0"/>
          <w:i w:val="0"/>
          <w:szCs w:val="22"/>
        </w:rPr>
        <w:t xml:space="preserve"> a draft </w:t>
      </w:r>
      <w:r w:rsidR="002761AE">
        <w:rPr>
          <w:rFonts w:eastAsia="Calibri" w:cs="Arial"/>
          <w:b w:val="0"/>
          <w:bCs w:val="0"/>
          <w:i w:val="0"/>
          <w:szCs w:val="22"/>
        </w:rPr>
        <w:t>variation</w:t>
      </w:r>
      <w:r w:rsidRPr="00A35DDA">
        <w:rPr>
          <w:rFonts w:eastAsia="Calibri" w:cs="Arial"/>
          <w:b w:val="0"/>
          <w:bCs w:val="0"/>
          <w:i w:val="0"/>
          <w:szCs w:val="22"/>
        </w:rPr>
        <w:t xml:space="preserve">. </w:t>
      </w:r>
    </w:p>
    <w:p w14:paraId="6FFD0498" w14:textId="77777777" w:rsidR="00AB0275" w:rsidRPr="00D13E34" w:rsidRDefault="00AB0275" w:rsidP="00AB0275">
      <w:pPr>
        <w:widowControl/>
        <w:autoSpaceDE w:val="0"/>
        <w:autoSpaceDN w:val="0"/>
        <w:adjustRightInd w:val="0"/>
        <w:rPr>
          <w:rFonts w:eastAsia="Calibri" w:cs="Arial"/>
          <w:bCs/>
          <w:szCs w:val="22"/>
          <w:lang w:val="en-AU" w:bidi="ar-SA"/>
        </w:rPr>
      </w:pPr>
    </w:p>
    <w:p w14:paraId="58A633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7B1D3D2B" w14:textId="77777777" w:rsidR="00AB0275" w:rsidRDefault="00AB0275" w:rsidP="00AB0275">
      <w:pPr>
        <w:rPr>
          <w:lang w:val="en-AU" w:eastAsia="en-GB" w:bidi="ar-SA"/>
        </w:rPr>
      </w:pPr>
    </w:p>
    <w:p w14:paraId="76816AEF" w14:textId="11B4BF37" w:rsidR="00F74E8C" w:rsidRPr="00345928" w:rsidRDefault="00AB0275" w:rsidP="00F74E8C">
      <w:pPr>
        <w:rPr>
          <w:lang w:val="en-AU" w:eastAsia="en-GB" w:bidi="ar-SA"/>
        </w:rPr>
      </w:pPr>
      <w:r>
        <w:rPr>
          <w:lang w:val="en-AU" w:eastAsia="en-GB" w:bidi="ar-SA"/>
        </w:rPr>
        <w:t xml:space="preserve">The </w:t>
      </w:r>
      <w:r w:rsidR="00AE3091">
        <w:rPr>
          <w:lang w:val="en-AU" w:eastAsia="en-GB" w:bidi="ar-SA"/>
        </w:rPr>
        <w:t>purpose of the draft variation is</w:t>
      </w:r>
      <w:r w:rsidR="00F74E8C">
        <w:rPr>
          <w:lang w:val="en-AU" w:eastAsia="en-GB" w:bidi="ar-SA"/>
        </w:rPr>
        <w:t xml:space="preserve"> to </w:t>
      </w:r>
      <w:r w:rsidR="00E52683">
        <w:rPr>
          <w:lang w:val="en-AU" w:eastAsia="en-GB" w:bidi="ar-SA"/>
        </w:rPr>
        <w:t xml:space="preserve">amend </w:t>
      </w:r>
      <w:r w:rsidR="007E39CB" w:rsidRPr="000544D0">
        <w:rPr>
          <w:szCs w:val="22"/>
          <w:lang w:bidi="ar-SA"/>
        </w:rPr>
        <w:t>the table to subsection S18—9(3)</w:t>
      </w:r>
      <w:r w:rsidR="007E39CB">
        <w:rPr>
          <w:szCs w:val="22"/>
          <w:lang w:bidi="ar-SA"/>
        </w:rPr>
        <w:t xml:space="preserve"> </w:t>
      </w:r>
      <w:r w:rsidR="00E52683">
        <w:rPr>
          <w:lang w:val="en-AU" w:eastAsia="en-GB" w:bidi="ar-SA"/>
        </w:rPr>
        <w:t xml:space="preserve">of the Code to </w:t>
      </w:r>
      <w:r w:rsidR="00F74E8C">
        <w:rPr>
          <w:lang w:val="en-AU" w:eastAsia="en-GB" w:bidi="ar-SA"/>
        </w:rPr>
        <w:t xml:space="preserve">permit the use of the enzyme, </w:t>
      </w:r>
      <w:r w:rsidR="007E51CE">
        <w:t>t</w:t>
      </w:r>
      <w:r w:rsidR="00016E11">
        <w:t>hermolysin</w:t>
      </w:r>
      <w:r w:rsidR="00F74E8C" w:rsidRPr="006532A6">
        <w:t xml:space="preserve"> </w:t>
      </w:r>
      <w:r w:rsidR="00AB27F4">
        <w:t>(EC 3.4.24.27)</w:t>
      </w:r>
      <w:r w:rsidR="00AB27F4" w:rsidRPr="005D0A2F">
        <w:rPr>
          <w:lang w:bidi="ar-SA"/>
        </w:rPr>
        <w:t xml:space="preserve"> </w:t>
      </w:r>
      <w:r w:rsidR="00F74E8C" w:rsidRPr="006532A6">
        <w:rPr>
          <w:lang w:eastAsia="en-AU" w:bidi="ar-SA"/>
        </w:rPr>
        <w:t xml:space="preserve">sourced </w:t>
      </w:r>
      <w:r w:rsidR="00F74E8C" w:rsidRPr="006532A6">
        <w:t xml:space="preserve">from </w:t>
      </w:r>
      <w:r w:rsidR="00915DD4">
        <w:rPr>
          <w:i/>
        </w:rPr>
        <w:t>A. caldiproteolyticus</w:t>
      </w:r>
      <w:r w:rsidR="00B750B9">
        <w:rPr>
          <w:i/>
        </w:rPr>
        <w:t xml:space="preserve"> </w:t>
      </w:r>
      <w:r w:rsidR="00737F4E">
        <w:t>strain TP-7</w:t>
      </w:r>
      <w:r w:rsidR="007E39CB">
        <w:t>,</w:t>
      </w:r>
      <w:r w:rsidR="00BE66A9">
        <w:t xml:space="preserve"> </w:t>
      </w:r>
      <w:r w:rsidR="00F74E8C" w:rsidRPr="00345928">
        <w:t>as a processing aid</w:t>
      </w:r>
      <w:r w:rsidR="00AE3091">
        <w:t xml:space="preserve"> </w:t>
      </w:r>
      <w:r w:rsidR="00AE3091">
        <w:rPr>
          <w:rFonts w:eastAsia="Calibri" w:cs="Arial"/>
          <w:bCs/>
          <w:szCs w:val="22"/>
          <w:lang w:val="en-AU" w:bidi="ar-SA"/>
        </w:rPr>
        <w:t xml:space="preserve">in food </w:t>
      </w:r>
      <w:r w:rsidR="001205B1">
        <w:t xml:space="preserve">at a maximum permitted level </w:t>
      </w:r>
      <w:r w:rsidR="00803219">
        <w:t xml:space="preserve">in accordance with Good Manufacturing </w:t>
      </w:r>
      <w:r w:rsidR="00C71E95">
        <w:t>P</w:t>
      </w:r>
      <w:r w:rsidR="00803219">
        <w:t xml:space="preserve">ractice </w:t>
      </w:r>
      <w:r w:rsidR="001205B1">
        <w:t xml:space="preserve">and </w:t>
      </w:r>
      <w:r w:rsidR="00AE3091">
        <w:rPr>
          <w:rFonts w:eastAsia="Calibri" w:cs="Arial"/>
          <w:bCs/>
          <w:szCs w:val="22"/>
          <w:lang w:val="en-AU" w:bidi="ar-SA"/>
        </w:rPr>
        <w:t>for the technological purpose</w:t>
      </w:r>
      <w:r w:rsidR="001205B1">
        <w:rPr>
          <w:rFonts w:eastAsia="Calibri" w:cs="Arial"/>
          <w:bCs/>
          <w:szCs w:val="22"/>
          <w:lang w:val="en-AU" w:bidi="ar-SA"/>
        </w:rPr>
        <w:t>s</w:t>
      </w:r>
      <w:r w:rsidR="00AE3091">
        <w:rPr>
          <w:rFonts w:eastAsia="Calibri" w:cs="Arial"/>
          <w:bCs/>
          <w:szCs w:val="22"/>
          <w:lang w:val="en-AU" w:bidi="ar-SA"/>
        </w:rPr>
        <w:t xml:space="preserve"> specified in that permission</w:t>
      </w:r>
      <w:r w:rsidR="00F74E8C" w:rsidRPr="00345928">
        <w:t xml:space="preserve">. </w:t>
      </w:r>
    </w:p>
    <w:p w14:paraId="00B9C678" w14:textId="77777777" w:rsidR="00F74E8C" w:rsidRDefault="00F74E8C" w:rsidP="00AB0275">
      <w:pPr>
        <w:rPr>
          <w:lang w:val="en-AU" w:eastAsia="en-GB" w:bidi="ar-SA"/>
        </w:rPr>
      </w:pPr>
    </w:p>
    <w:p w14:paraId="04A9C670"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02E76E8" w14:textId="77777777" w:rsidR="00AB0275" w:rsidRDefault="00AB0275" w:rsidP="00AB0275">
      <w:pPr>
        <w:rPr>
          <w:lang w:val="en-AU" w:eastAsia="en-GB" w:bidi="ar-SA"/>
        </w:rPr>
      </w:pPr>
    </w:p>
    <w:p w14:paraId="119448F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0BF3B45" w14:textId="77777777" w:rsidR="00AB0275" w:rsidRDefault="00AB0275" w:rsidP="00AB0275">
      <w:pPr>
        <w:rPr>
          <w:lang w:val="en-AU" w:eastAsia="en-GB" w:bidi="ar-SA"/>
        </w:rPr>
      </w:pPr>
    </w:p>
    <w:p w14:paraId="43516F4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62614EC" w14:textId="77777777" w:rsidR="00AB0275" w:rsidRDefault="00AB0275" w:rsidP="00AB0275">
      <w:pPr>
        <w:rPr>
          <w:lang w:val="en-AU" w:eastAsia="en-GB" w:bidi="ar-SA"/>
        </w:rPr>
      </w:pPr>
    </w:p>
    <w:p w14:paraId="1DFD6001" w14:textId="45C0DEC4" w:rsidR="00AB0275" w:rsidRPr="00A35DDA" w:rsidRDefault="00AB0275" w:rsidP="00AB0275">
      <w:pPr>
        <w:rPr>
          <w:lang w:val="en-AU"/>
        </w:rPr>
      </w:pPr>
      <w:r w:rsidRPr="00A35DDA">
        <w:rPr>
          <w:szCs w:val="22"/>
        </w:rPr>
        <w:t xml:space="preserve">In accordance with the procedure in Division </w:t>
      </w:r>
      <w:r w:rsidR="00BE07D4" w:rsidRPr="00A35DDA">
        <w:rPr>
          <w:szCs w:val="22"/>
        </w:rPr>
        <w:t xml:space="preserve">1 </w:t>
      </w:r>
      <w:r w:rsidRPr="00A35DDA">
        <w:rPr>
          <w:szCs w:val="22"/>
        </w:rPr>
        <w:t xml:space="preserve">of Part </w:t>
      </w:r>
      <w:r w:rsidR="00BE07D4" w:rsidRPr="00A35DDA">
        <w:rPr>
          <w:szCs w:val="22"/>
        </w:rPr>
        <w:t>3</w:t>
      </w:r>
      <w:r w:rsidRPr="00A35DDA">
        <w:rPr>
          <w:szCs w:val="22"/>
        </w:rPr>
        <w:t xml:space="preserve"> of the FSANZ Act, </w:t>
      </w:r>
      <w:r w:rsidRPr="00A35DDA">
        <w:rPr>
          <w:rFonts w:eastAsia="Calibri" w:cs="Arial"/>
          <w:bCs/>
          <w:szCs w:val="22"/>
          <w:lang w:val="en-AU" w:bidi="ar-SA"/>
        </w:rPr>
        <w:t>the Authority</w:t>
      </w:r>
      <w:r w:rsidRPr="00A35DDA">
        <w:rPr>
          <w:szCs w:val="22"/>
        </w:rPr>
        <w:t>’s consideration of Application</w:t>
      </w:r>
      <w:r w:rsidR="00BE07D4" w:rsidRPr="00A35DDA">
        <w:rPr>
          <w:szCs w:val="22"/>
        </w:rPr>
        <w:t xml:space="preserve"> </w:t>
      </w:r>
      <w:r w:rsidR="008426D6">
        <w:rPr>
          <w:szCs w:val="22"/>
        </w:rPr>
        <w:t>A1146</w:t>
      </w:r>
      <w:r w:rsidRPr="00A35DDA">
        <w:rPr>
          <w:szCs w:val="22"/>
        </w:rPr>
        <w:t xml:space="preserve"> will include one round of public consultation following an assessment</w:t>
      </w:r>
      <w:r w:rsidR="00BE07D4" w:rsidRPr="00A35DDA">
        <w:rPr>
          <w:szCs w:val="22"/>
        </w:rPr>
        <w:t>,</w:t>
      </w:r>
      <w:r w:rsidRPr="00A35DDA">
        <w:rPr>
          <w:szCs w:val="22"/>
        </w:rPr>
        <w:t xml:space="preserve"> and the preparation of a draft </w:t>
      </w:r>
      <w:r w:rsidR="00BE07D4" w:rsidRPr="00A35DDA">
        <w:rPr>
          <w:szCs w:val="22"/>
        </w:rPr>
        <w:t xml:space="preserve">amendment to the Code and associated </w:t>
      </w:r>
      <w:r w:rsidR="00E52683">
        <w:rPr>
          <w:szCs w:val="22"/>
        </w:rPr>
        <w:t>assessment summary</w:t>
      </w:r>
      <w:r w:rsidRPr="00A35DDA">
        <w:rPr>
          <w:szCs w:val="22"/>
        </w:rPr>
        <w:t xml:space="preserve">. </w:t>
      </w:r>
    </w:p>
    <w:p w14:paraId="1C58B7AB" w14:textId="77777777" w:rsidR="00AB0275" w:rsidRPr="00A35DDA" w:rsidRDefault="00AB0275" w:rsidP="00AB0275"/>
    <w:p w14:paraId="15A8BEEC" w14:textId="2BCB2D5F" w:rsidR="00AB0275" w:rsidRPr="00A35DDA" w:rsidRDefault="00AB0275" w:rsidP="00AB0275">
      <w:pPr>
        <w:widowControl/>
        <w:autoSpaceDE w:val="0"/>
        <w:autoSpaceDN w:val="0"/>
        <w:adjustRightInd w:val="0"/>
        <w:rPr>
          <w:rFonts w:cs="Arial"/>
          <w:szCs w:val="22"/>
        </w:rPr>
      </w:pPr>
      <w:r w:rsidRPr="00A35DDA">
        <w:rPr>
          <w:rFonts w:eastAsia="Calibri" w:cs="Arial"/>
          <w:bCs/>
          <w:szCs w:val="22"/>
          <w:lang w:val="en-AU" w:bidi="ar-SA"/>
        </w:rPr>
        <w:t>A Regulation Impact Statement was not required because the proposed variation to S</w:t>
      </w:r>
      <w:r w:rsidR="00BE07D4" w:rsidRPr="00A35DDA">
        <w:rPr>
          <w:rFonts w:eastAsia="Calibri" w:cs="Arial"/>
          <w:bCs/>
          <w:szCs w:val="22"/>
          <w:lang w:val="en-AU" w:bidi="ar-SA"/>
        </w:rPr>
        <w:t xml:space="preserve">chedule 18 of the Code </w:t>
      </w:r>
      <w:r w:rsidR="00BF4215">
        <w:rPr>
          <w:rFonts w:eastAsia="Calibri" w:cs="Arial"/>
          <w:bCs/>
          <w:szCs w:val="22"/>
          <w:lang w:val="en-AU" w:bidi="ar-SA"/>
        </w:rPr>
        <w:t>is</w:t>
      </w:r>
      <w:r w:rsidRPr="00A35DDA">
        <w:t xml:space="preserve"> likely to have a minor impact on business and individuals. </w:t>
      </w:r>
    </w:p>
    <w:p w14:paraId="05B1229A" w14:textId="77777777" w:rsidR="00AB0275" w:rsidRDefault="00AB0275" w:rsidP="00AB0275">
      <w:pPr>
        <w:widowControl/>
        <w:rPr>
          <w:rFonts w:eastAsiaTheme="minorHAnsi" w:cs="Arial"/>
          <w:b/>
          <w:bCs/>
          <w:szCs w:val="22"/>
          <w:lang w:val="en-AU" w:bidi="ar-SA"/>
        </w:rPr>
      </w:pPr>
    </w:p>
    <w:p w14:paraId="778930A1"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51B83A7" w14:textId="77777777" w:rsidR="00AB0275" w:rsidRDefault="00AB0275" w:rsidP="00AB0275">
      <w:pPr>
        <w:rPr>
          <w:rFonts w:eastAsiaTheme="minorHAnsi"/>
          <w:lang w:val="en-AU" w:bidi="ar-SA"/>
        </w:rPr>
      </w:pPr>
    </w:p>
    <w:p w14:paraId="6B967E8C"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781BBBF" w14:textId="77777777" w:rsidR="00AB0275" w:rsidRDefault="00AB0275" w:rsidP="00AB0275">
      <w:pPr>
        <w:rPr>
          <w:rFonts w:eastAsiaTheme="minorHAnsi"/>
          <w:lang w:val="en-AU" w:bidi="ar-SA"/>
        </w:rPr>
      </w:pPr>
    </w:p>
    <w:p w14:paraId="170C3DA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BA69433" w14:textId="77777777" w:rsidR="00AB0275" w:rsidRPr="006532A6" w:rsidRDefault="00AB0275" w:rsidP="00AB0275">
      <w:pPr>
        <w:rPr>
          <w:b/>
        </w:rPr>
      </w:pPr>
    </w:p>
    <w:p w14:paraId="2D885A07" w14:textId="78A90807" w:rsidR="009E484F" w:rsidRDefault="009E484F" w:rsidP="009E484F">
      <w:r>
        <w:t>Item [1]</w:t>
      </w:r>
      <w:r w:rsidR="00AC33C0">
        <w:t xml:space="preserve"> inserts a new entry into</w:t>
      </w:r>
      <w:r>
        <w:t xml:space="preserve"> the table to subsection S18-9(3) in Schedule 18 of the Code. </w:t>
      </w:r>
    </w:p>
    <w:p w14:paraId="62F285DF" w14:textId="77777777" w:rsidR="009E484F" w:rsidRDefault="009E484F" w:rsidP="009E484F"/>
    <w:p w14:paraId="6E56F3D7" w14:textId="291FCB6D" w:rsidR="007C174F" w:rsidRPr="000D4FB2" w:rsidRDefault="001618B7" w:rsidP="000D4FB2">
      <w:r w:rsidRPr="006532A6">
        <w:lastRenderedPageBreak/>
        <w:t xml:space="preserve">The </w:t>
      </w:r>
      <w:r w:rsidR="000D4FB2">
        <w:t xml:space="preserve">effect of the </w:t>
      </w:r>
      <w:r w:rsidRPr="006532A6">
        <w:t xml:space="preserve">new entry would </w:t>
      </w:r>
      <w:r w:rsidR="000D4FB2">
        <w:t xml:space="preserve">be to </w:t>
      </w:r>
      <w:r w:rsidRPr="006532A6">
        <w:t xml:space="preserve">permit the use of </w:t>
      </w:r>
      <w:r w:rsidR="00113620">
        <w:t>t</w:t>
      </w:r>
      <w:r w:rsidR="00016E11">
        <w:t>hermolysin</w:t>
      </w:r>
      <w:r w:rsidR="006532A6" w:rsidRPr="006532A6">
        <w:rPr>
          <w:lang w:eastAsia="en-AU" w:bidi="ar-SA"/>
        </w:rPr>
        <w:t xml:space="preserve"> </w:t>
      </w:r>
      <w:r w:rsidR="009E484F">
        <w:rPr>
          <w:lang w:eastAsia="en-AU" w:bidi="ar-SA"/>
        </w:rPr>
        <w:t>(</w:t>
      </w:r>
      <w:r w:rsidR="009E484F" w:rsidRPr="007914AF">
        <w:rPr>
          <w:lang w:eastAsia="en-AU"/>
        </w:rPr>
        <w:t>EC 3.4.24.27)</w:t>
      </w:r>
      <w:r w:rsidR="009E484F">
        <w:t xml:space="preserve"> </w:t>
      </w:r>
      <w:r w:rsidR="006532A6" w:rsidRPr="006532A6">
        <w:rPr>
          <w:lang w:eastAsia="en-AU" w:bidi="ar-SA"/>
        </w:rPr>
        <w:t xml:space="preserve">sourced </w:t>
      </w:r>
      <w:r w:rsidR="006532A6" w:rsidRPr="006532A6">
        <w:t xml:space="preserve">from </w:t>
      </w:r>
      <w:r w:rsidR="00915DD4">
        <w:rPr>
          <w:i/>
        </w:rPr>
        <w:t>A.</w:t>
      </w:r>
      <w:r w:rsidR="00DE4135">
        <w:rPr>
          <w:i/>
        </w:rPr>
        <w:t xml:space="preserve"> </w:t>
      </w:r>
      <w:r w:rsidR="007E51CE">
        <w:rPr>
          <w:i/>
        </w:rPr>
        <w:t>c</w:t>
      </w:r>
      <w:r w:rsidR="00915DD4">
        <w:rPr>
          <w:i/>
        </w:rPr>
        <w:t>aldiproteolyticus</w:t>
      </w:r>
      <w:r w:rsidR="00113620">
        <w:rPr>
          <w:i/>
        </w:rPr>
        <w:t xml:space="preserve"> </w:t>
      </w:r>
      <w:r w:rsidR="00113620">
        <w:t>strain TP-7</w:t>
      </w:r>
      <w:r w:rsidR="00B750B9">
        <w:rPr>
          <w:i/>
        </w:rPr>
        <w:t xml:space="preserve"> </w:t>
      </w:r>
      <w:r w:rsidRPr="006532A6">
        <w:t>as a processing aid in food</w:t>
      </w:r>
      <w:r w:rsidR="002E0FB1">
        <w:t xml:space="preserve"> </w:t>
      </w:r>
      <w:r w:rsidR="00853C67">
        <w:t xml:space="preserve">for the </w:t>
      </w:r>
      <w:r w:rsidR="000D4FB2">
        <w:t xml:space="preserve">following </w:t>
      </w:r>
      <w:r w:rsidR="002E0FB1">
        <w:rPr>
          <w:rFonts w:eastAsia="Calibri" w:cs="Arial"/>
          <w:bCs/>
          <w:szCs w:val="22"/>
          <w:lang w:val="en-AU" w:bidi="ar-SA"/>
        </w:rPr>
        <w:t>technological purpose</w:t>
      </w:r>
      <w:r w:rsidR="000D4FB2">
        <w:rPr>
          <w:rFonts w:eastAsia="Calibri" w:cs="Arial"/>
          <w:bCs/>
          <w:szCs w:val="22"/>
          <w:lang w:val="en-AU" w:bidi="ar-SA"/>
        </w:rPr>
        <w:t xml:space="preserve">: </w:t>
      </w:r>
      <w:r w:rsidR="000D4FB2">
        <w:rPr>
          <w:rFonts w:eastAsia="Calibri"/>
          <w:szCs w:val="22"/>
          <w:lang w:val="en-NZ" w:bidi="ar-SA"/>
        </w:rPr>
        <w:t>t</w:t>
      </w:r>
      <w:r w:rsidR="000D4FB2" w:rsidRPr="004A76AE">
        <w:rPr>
          <w:rFonts w:eastAsia="Calibri"/>
          <w:szCs w:val="22"/>
          <w:lang w:val="en-NZ" w:bidi="ar-SA"/>
        </w:rPr>
        <w:t xml:space="preserve">o catalyse the hydrolysis of peptide bonds </w:t>
      </w:r>
      <w:r w:rsidR="000D4FB2" w:rsidRPr="004A76AE">
        <w:rPr>
          <w:rFonts w:eastAsia="Calibri"/>
          <w:szCs w:val="22"/>
          <w:lang w:bidi="ar-SA"/>
        </w:rPr>
        <w:t>during the manufacture and/or processing of dairy</w:t>
      </w:r>
      <w:r w:rsidR="000D4FB2">
        <w:rPr>
          <w:rFonts w:eastAsia="Calibri"/>
          <w:szCs w:val="22"/>
          <w:lang w:bidi="ar-SA"/>
        </w:rPr>
        <w:t xml:space="preserve">, </w:t>
      </w:r>
      <w:r w:rsidR="000D4FB2" w:rsidRPr="004A76AE">
        <w:rPr>
          <w:rFonts w:eastAsia="Calibri"/>
          <w:szCs w:val="22"/>
          <w:lang w:bidi="ar-SA"/>
        </w:rPr>
        <w:t>egg</w:t>
      </w:r>
      <w:r w:rsidR="000D4FB2">
        <w:rPr>
          <w:rFonts w:eastAsia="Calibri"/>
          <w:szCs w:val="22"/>
          <w:lang w:bidi="ar-SA"/>
        </w:rPr>
        <w:t xml:space="preserve">, </w:t>
      </w:r>
      <w:r w:rsidR="000D4FB2" w:rsidRPr="004A76AE">
        <w:rPr>
          <w:rFonts w:eastAsia="Calibri"/>
          <w:szCs w:val="22"/>
          <w:lang w:bidi="ar-SA"/>
        </w:rPr>
        <w:t>meat</w:t>
      </w:r>
      <w:r w:rsidR="000D4FB2">
        <w:rPr>
          <w:rFonts w:eastAsia="Calibri"/>
          <w:szCs w:val="22"/>
          <w:lang w:bidi="ar-SA"/>
        </w:rPr>
        <w:t xml:space="preserve">, </w:t>
      </w:r>
      <w:r w:rsidR="000D4FB2" w:rsidRPr="004A76AE">
        <w:rPr>
          <w:rFonts w:eastAsia="Calibri"/>
          <w:szCs w:val="22"/>
          <w:lang w:bidi="ar-SA"/>
        </w:rPr>
        <w:t>fish</w:t>
      </w:r>
      <w:r w:rsidR="000D4FB2">
        <w:rPr>
          <w:rFonts w:eastAsia="Calibri"/>
          <w:szCs w:val="22"/>
          <w:lang w:bidi="ar-SA"/>
        </w:rPr>
        <w:t xml:space="preserve">, </w:t>
      </w:r>
      <w:r w:rsidR="000D4FB2" w:rsidRPr="004A76AE">
        <w:rPr>
          <w:rFonts w:eastAsia="Calibri"/>
          <w:szCs w:val="22"/>
          <w:lang w:bidi="ar-SA"/>
        </w:rPr>
        <w:t>protein</w:t>
      </w:r>
      <w:r w:rsidR="000D4FB2">
        <w:rPr>
          <w:rFonts w:eastAsia="Calibri"/>
          <w:szCs w:val="22"/>
          <w:lang w:bidi="ar-SA"/>
        </w:rPr>
        <w:t xml:space="preserve">, yeast, and </w:t>
      </w:r>
      <w:r w:rsidR="000D4FB2" w:rsidRPr="00006FC5">
        <w:rPr>
          <w:rFonts w:eastAsia="Calibri"/>
          <w:szCs w:val="22"/>
        </w:rPr>
        <w:t>flavouring</w:t>
      </w:r>
      <w:r w:rsidR="000D4FB2">
        <w:rPr>
          <w:rFonts w:eastAsia="Calibri"/>
          <w:szCs w:val="22"/>
        </w:rPr>
        <w:t xml:space="preserve">. The permission includes the condition that the maximum permitted </w:t>
      </w:r>
      <w:r w:rsidR="00F70D43">
        <w:rPr>
          <w:rFonts w:eastAsia="Calibri"/>
          <w:szCs w:val="22"/>
        </w:rPr>
        <w:t>amount</w:t>
      </w:r>
      <w:r w:rsidR="000D4FB2">
        <w:rPr>
          <w:rFonts w:eastAsia="Calibri"/>
          <w:szCs w:val="22"/>
        </w:rPr>
        <w:t xml:space="preserve"> used as a processing aid must be consistent with </w:t>
      </w:r>
      <w:r w:rsidR="000D4FB2">
        <w:t>Good Manufacturing Practice (as defined by section 1.1.2</w:t>
      </w:r>
      <w:r w:rsidR="000D4FB2" w:rsidRPr="000544D0">
        <w:rPr>
          <w:szCs w:val="22"/>
          <w:lang w:bidi="ar-SA"/>
        </w:rPr>
        <w:t>—</w:t>
      </w:r>
      <w:r w:rsidR="000D4FB2">
        <w:t xml:space="preserve">2(3) of the Code). </w:t>
      </w:r>
    </w:p>
    <w:sectPr w:rsidR="007C174F" w:rsidRPr="000D4FB2"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8721" w14:textId="77777777" w:rsidR="00C2298A" w:rsidRDefault="00C2298A">
      <w:r>
        <w:separator/>
      </w:r>
    </w:p>
  </w:endnote>
  <w:endnote w:type="continuationSeparator" w:id="0">
    <w:p w14:paraId="1FFDA792" w14:textId="77777777" w:rsidR="00C2298A" w:rsidRDefault="00C2298A">
      <w:r>
        <w:continuationSeparator/>
      </w:r>
    </w:p>
  </w:endnote>
  <w:endnote w:type="continuationNotice" w:id="1">
    <w:p w14:paraId="17F85024" w14:textId="77777777" w:rsidR="00C2298A" w:rsidRDefault="00C22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4612" w14:textId="29EB227E" w:rsidR="00454573" w:rsidRDefault="00454573" w:rsidP="00170D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52C185A" w14:textId="77777777" w:rsidR="00454573" w:rsidRDefault="00454573" w:rsidP="00B32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344C" w14:textId="5BA89743" w:rsidR="00454573" w:rsidRDefault="0045457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2932">
      <w:rPr>
        <w:rStyle w:val="PageNumber"/>
        <w:noProof/>
      </w:rPr>
      <w:t>i</w:t>
    </w:r>
    <w:r>
      <w:rPr>
        <w:rStyle w:val="PageNumber"/>
      </w:rPr>
      <w:fldChar w:fldCharType="end"/>
    </w:r>
  </w:p>
  <w:p w14:paraId="7CD53899" w14:textId="77777777" w:rsidR="00454573" w:rsidRDefault="00454573" w:rsidP="00B329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CF232" w14:textId="77777777" w:rsidR="00C2298A" w:rsidRDefault="00C2298A">
      <w:r>
        <w:separator/>
      </w:r>
    </w:p>
  </w:footnote>
  <w:footnote w:type="continuationSeparator" w:id="0">
    <w:p w14:paraId="6C00DD57" w14:textId="77777777" w:rsidR="00C2298A" w:rsidRDefault="00C2298A">
      <w:r>
        <w:continuationSeparator/>
      </w:r>
    </w:p>
  </w:footnote>
  <w:footnote w:type="continuationNotice" w:id="1">
    <w:p w14:paraId="22AE2DE1" w14:textId="77777777" w:rsidR="00C2298A" w:rsidRDefault="00C2298A"/>
  </w:footnote>
  <w:footnote w:id="2">
    <w:p w14:paraId="158BCCCA" w14:textId="6072C38F" w:rsidR="00454573" w:rsidRPr="00B174EF" w:rsidRDefault="00454573">
      <w:pPr>
        <w:pStyle w:val="FootnoteText"/>
        <w:rPr>
          <w:rFonts w:cs="Arial"/>
          <w:sz w:val="18"/>
          <w:szCs w:val="18"/>
          <w:lang w:val="en-US"/>
        </w:rPr>
      </w:pPr>
      <w:r>
        <w:rPr>
          <w:rStyle w:val="FootnoteReference"/>
        </w:rPr>
        <w:footnoteRef/>
      </w:r>
      <w:r>
        <w:t xml:space="preserve"> </w:t>
      </w:r>
      <w:hyperlink r:id="rId1" w:anchor="LEGIARTI000023482902" w:history="1">
        <w:r w:rsidRPr="000544D0">
          <w:rPr>
            <w:rStyle w:val="Hyperlink"/>
            <w:rFonts w:cs="Arial"/>
            <w:sz w:val="16"/>
            <w:szCs w:val="16"/>
            <w:lang w:val="en-NZ" w:eastAsia="en-GB" w:bidi="ar-SA"/>
          </w:rPr>
          <w:t>https://www.legifrance.gouv.fr/affichTexte.do?cidTexte=JORFTEXT000000271061&amp;dateTexte=#LEGIARTI000023482902</w:t>
        </w:r>
      </w:hyperlink>
      <w:r w:rsidRPr="000544D0">
        <w:rPr>
          <w:rFonts w:cs="Arial"/>
          <w:color w:val="0000FF"/>
          <w:sz w:val="18"/>
          <w:szCs w:val="18"/>
          <w:lang w:val="en-NZ" w:eastAsia="en-GB" w:bidi="ar-SA"/>
        </w:rPr>
        <w:t xml:space="preserve"> </w:t>
      </w:r>
    </w:p>
  </w:footnote>
  <w:footnote w:id="3">
    <w:p w14:paraId="4ADA3274" w14:textId="77777777" w:rsidR="00454573" w:rsidRPr="00FA4875" w:rsidRDefault="00454573" w:rsidP="0093681F">
      <w:pPr>
        <w:pStyle w:val="FootnoteText"/>
        <w:rPr>
          <w:lang w:val="en-AU"/>
        </w:rPr>
      </w:pPr>
      <w:r>
        <w:rPr>
          <w:rStyle w:val="FootnoteReference"/>
        </w:rPr>
        <w:footnoteRef/>
      </w:r>
      <w:r>
        <w:t xml:space="preserve"> </w:t>
      </w:r>
      <w:r>
        <w:rPr>
          <w:lang w:val="en-AU"/>
        </w:rPr>
        <w:t>EC: Enzyme Commission, internationally recognised number that provides a unique identifier for the enzyme</w:t>
      </w:r>
    </w:p>
  </w:footnote>
  <w:footnote w:id="4">
    <w:p w14:paraId="77B88DF0" w14:textId="77777777" w:rsidR="00454573" w:rsidRPr="008828D9" w:rsidRDefault="00454573" w:rsidP="00AA5851">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14:paraId="7E2A3389" w14:textId="306F29BF" w:rsidR="00454573" w:rsidRPr="006115C5" w:rsidRDefault="00454573" w:rsidP="00AA5851">
      <w:pPr>
        <w:pStyle w:val="FootnoteText"/>
        <w:rPr>
          <w:lang w:val="en-AU"/>
        </w:rPr>
      </w:pPr>
      <w:r w:rsidRPr="00DA2754">
        <w:rPr>
          <w:rStyle w:val="FootnoteReference"/>
          <w:sz w:val="18"/>
          <w:szCs w:val="18"/>
        </w:rPr>
        <w:footnoteRef/>
      </w:r>
      <w:r w:rsidRPr="00DA2754">
        <w:rPr>
          <w:sz w:val="18"/>
          <w:szCs w:val="18"/>
        </w:rPr>
        <w:t xml:space="preserve"> </w:t>
      </w:r>
      <w:hyperlink r:id="rId2" w:history="1">
        <w:r>
          <w:rPr>
            <w:rStyle w:val="Hyperlink"/>
            <w:sz w:val="18"/>
            <w:szCs w:val="18"/>
          </w:rPr>
          <w:t>Policy guidelines formulated by the Ministerial Council</w:t>
        </w:r>
      </w:hyperlink>
      <w:r>
        <w:rPr>
          <w:sz w:val="18"/>
          <w:szCs w:val="18"/>
        </w:rPr>
        <w:t xml:space="preserve"> </w:t>
      </w:r>
    </w:p>
  </w:footnote>
  <w:footnote w:id="6">
    <w:p w14:paraId="531D7E52" w14:textId="77777777" w:rsidR="00454573" w:rsidRPr="00FA4875" w:rsidRDefault="00454573" w:rsidP="007914AF">
      <w:pPr>
        <w:pStyle w:val="FootnoteText"/>
        <w:rPr>
          <w:lang w:val="en-AU"/>
        </w:rPr>
      </w:pPr>
      <w:r>
        <w:rPr>
          <w:rStyle w:val="FootnoteReference"/>
        </w:rPr>
        <w:footnoteRef/>
      </w:r>
      <w:r>
        <w:t xml:space="preserve"> </w:t>
      </w:r>
      <w:r>
        <w:rPr>
          <w:lang w:val="en-AU"/>
        </w:rPr>
        <w:t>EC: Enzyme Commission, internationally recognised number that provides a unique identifier for the enzyme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8776" w14:textId="234B59A1" w:rsidR="00454573" w:rsidRDefault="0045457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768E5"/>
    <w:multiLevelType w:val="hybridMultilevel"/>
    <w:tmpl w:val="280CCA8A"/>
    <w:lvl w:ilvl="0" w:tplc="AEA445F8">
      <w:start w:val="1"/>
      <w:numFmt w:val="lowerLetter"/>
      <w:lvlText w:val="(%1)"/>
      <w:lvlJc w:val="left"/>
      <w:pPr>
        <w:ind w:left="720" w:hanging="360"/>
      </w:pPr>
      <w:rPr>
        <w:rFonts w:ascii="Arial" w:eastAsia="Calibri" w:hAnsi="Arial"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38049C"/>
    <w:multiLevelType w:val="hybridMultilevel"/>
    <w:tmpl w:val="ADB483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8B5C53"/>
    <w:multiLevelType w:val="hybridMultilevel"/>
    <w:tmpl w:val="280CCA8A"/>
    <w:lvl w:ilvl="0" w:tplc="AEA445F8">
      <w:start w:val="1"/>
      <w:numFmt w:val="lowerLetter"/>
      <w:lvlText w:val="(%1)"/>
      <w:lvlJc w:val="left"/>
      <w:pPr>
        <w:ind w:left="720" w:hanging="360"/>
      </w:pPr>
      <w:rPr>
        <w:rFonts w:ascii="Arial" w:eastAsia="Calibri" w:hAnsi="Arial"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700463"/>
    <w:multiLevelType w:val="hybridMultilevel"/>
    <w:tmpl w:val="F7003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BD36CE"/>
    <w:multiLevelType w:val="hybridMultilevel"/>
    <w:tmpl w:val="545CE8A0"/>
    <w:lvl w:ilvl="0" w:tplc="F1E6B8E0">
      <w:start w:val="1"/>
      <w:numFmt w:val="bullet"/>
      <w:pStyle w:val="FS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E94846"/>
    <w:multiLevelType w:val="hybridMultilevel"/>
    <w:tmpl w:val="D7C671AE"/>
    <w:lvl w:ilvl="0" w:tplc="FDDED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6CD60D9F"/>
    <w:multiLevelType w:val="hybridMultilevel"/>
    <w:tmpl w:val="6DA4C8FE"/>
    <w:lvl w:ilvl="0" w:tplc="8E6C5D02">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16090F"/>
    <w:multiLevelType w:val="hybridMultilevel"/>
    <w:tmpl w:val="4B883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1"/>
  </w:num>
  <w:num w:numId="3">
    <w:abstractNumId w:val="0"/>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10"/>
  </w:num>
  <w:num w:numId="9">
    <w:abstractNumId w:val="3"/>
  </w:num>
  <w:num w:numId="10">
    <w:abstractNumId w:val="2"/>
  </w:num>
  <w:num w:numId="11">
    <w:abstractNumId w:val="7"/>
  </w:num>
  <w:num w:numId="12">
    <w:abstractNumId w:val="14"/>
  </w:num>
  <w:num w:numId="13">
    <w:abstractNumId w:val="15"/>
  </w:num>
  <w:num w:numId="14">
    <w:abstractNumId w:val="12"/>
  </w:num>
  <w:num w:numId="15">
    <w:abstractNumId w:val="6"/>
  </w:num>
  <w:num w:numId="16">
    <w:abstractNumId w:val="4"/>
  </w:num>
  <w:num w:numId="17">
    <w:abstractNumId w:val="5"/>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5C3"/>
    <w:rsid w:val="00001CF2"/>
    <w:rsid w:val="0000247B"/>
    <w:rsid w:val="000035E0"/>
    <w:rsid w:val="00004274"/>
    <w:rsid w:val="0000469B"/>
    <w:rsid w:val="000046C4"/>
    <w:rsid w:val="00004D50"/>
    <w:rsid w:val="000064AB"/>
    <w:rsid w:val="00016CB6"/>
    <w:rsid w:val="00016E11"/>
    <w:rsid w:val="00017CEA"/>
    <w:rsid w:val="00022DBC"/>
    <w:rsid w:val="0003415B"/>
    <w:rsid w:val="00034F87"/>
    <w:rsid w:val="00035FF3"/>
    <w:rsid w:val="00037622"/>
    <w:rsid w:val="000427B2"/>
    <w:rsid w:val="00044F0E"/>
    <w:rsid w:val="00051021"/>
    <w:rsid w:val="00051ED9"/>
    <w:rsid w:val="000544D0"/>
    <w:rsid w:val="000550A0"/>
    <w:rsid w:val="00055825"/>
    <w:rsid w:val="000564DE"/>
    <w:rsid w:val="00057181"/>
    <w:rsid w:val="0006284A"/>
    <w:rsid w:val="00064B2D"/>
    <w:rsid w:val="00065EA6"/>
    <w:rsid w:val="00065F1F"/>
    <w:rsid w:val="000677D3"/>
    <w:rsid w:val="00070320"/>
    <w:rsid w:val="000735FD"/>
    <w:rsid w:val="0007466A"/>
    <w:rsid w:val="00076D33"/>
    <w:rsid w:val="000778D6"/>
    <w:rsid w:val="00077AB0"/>
    <w:rsid w:val="000803F0"/>
    <w:rsid w:val="000806FA"/>
    <w:rsid w:val="000813D7"/>
    <w:rsid w:val="000877DD"/>
    <w:rsid w:val="00091CC2"/>
    <w:rsid w:val="0009430F"/>
    <w:rsid w:val="0009770B"/>
    <w:rsid w:val="00097821"/>
    <w:rsid w:val="000A27E9"/>
    <w:rsid w:val="000A2E86"/>
    <w:rsid w:val="000A3D8B"/>
    <w:rsid w:val="000A433E"/>
    <w:rsid w:val="000A5DF8"/>
    <w:rsid w:val="000B0660"/>
    <w:rsid w:val="000B3BA6"/>
    <w:rsid w:val="000B6AF2"/>
    <w:rsid w:val="000C0DA3"/>
    <w:rsid w:val="000C105B"/>
    <w:rsid w:val="000C412C"/>
    <w:rsid w:val="000C5F2B"/>
    <w:rsid w:val="000D295F"/>
    <w:rsid w:val="000D4CE6"/>
    <w:rsid w:val="000D4FB2"/>
    <w:rsid w:val="000D6FD4"/>
    <w:rsid w:val="000E0AE4"/>
    <w:rsid w:val="000E3DBC"/>
    <w:rsid w:val="000F40FC"/>
    <w:rsid w:val="000F504F"/>
    <w:rsid w:val="000F6589"/>
    <w:rsid w:val="000F71FC"/>
    <w:rsid w:val="0011100F"/>
    <w:rsid w:val="00111463"/>
    <w:rsid w:val="00111634"/>
    <w:rsid w:val="00113620"/>
    <w:rsid w:val="00113CE3"/>
    <w:rsid w:val="00117522"/>
    <w:rsid w:val="001205B1"/>
    <w:rsid w:val="0012214D"/>
    <w:rsid w:val="00124A44"/>
    <w:rsid w:val="001272A0"/>
    <w:rsid w:val="001359CB"/>
    <w:rsid w:val="00137869"/>
    <w:rsid w:val="001413BE"/>
    <w:rsid w:val="00142FB4"/>
    <w:rsid w:val="001473FB"/>
    <w:rsid w:val="00151550"/>
    <w:rsid w:val="001542D8"/>
    <w:rsid w:val="0015468C"/>
    <w:rsid w:val="00155C60"/>
    <w:rsid w:val="00157D8B"/>
    <w:rsid w:val="001618B7"/>
    <w:rsid w:val="00170D15"/>
    <w:rsid w:val="00171988"/>
    <w:rsid w:val="00174395"/>
    <w:rsid w:val="00176746"/>
    <w:rsid w:val="00180C41"/>
    <w:rsid w:val="00182C4C"/>
    <w:rsid w:val="00184457"/>
    <w:rsid w:val="00187D46"/>
    <w:rsid w:val="00197C86"/>
    <w:rsid w:val="00197D8D"/>
    <w:rsid w:val="001A1A75"/>
    <w:rsid w:val="001A3568"/>
    <w:rsid w:val="001A3B31"/>
    <w:rsid w:val="001A6A1F"/>
    <w:rsid w:val="001A7E9A"/>
    <w:rsid w:val="001C27A3"/>
    <w:rsid w:val="001C282C"/>
    <w:rsid w:val="001C3D2F"/>
    <w:rsid w:val="001C5295"/>
    <w:rsid w:val="001C72ED"/>
    <w:rsid w:val="001D63E9"/>
    <w:rsid w:val="001D6B95"/>
    <w:rsid w:val="001E09FA"/>
    <w:rsid w:val="001E3E78"/>
    <w:rsid w:val="001E61D3"/>
    <w:rsid w:val="001F42AF"/>
    <w:rsid w:val="001F5B9C"/>
    <w:rsid w:val="001F6652"/>
    <w:rsid w:val="001F74B2"/>
    <w:rsid w:val="00203540"/>
    <w:rsid w:val="0020770C"/>
    <w:rsid w:val="002120D7"/>
    <w:rsid w:val="00220F97"/>
    <w:rsid w:val="00221D07"/>
    <w:rsid w:val="00223952"/>
    <w:rsid w:val="00224D74"/>
    <w:rsid w:val="00227E4A"/>
    <w:rsid w:val="00233084"/>
    <w:rsid w:val="002372B4"/>
    <w:rsid w:val="00237692"/>
    <w:rsid w:val="00240301"/>
    <w:rsid w:val="00241B9D"/>
    <w:rsid w:val="002432EE"/>
    <w:rsid w:val="002454F2"/>
    <w:rsid w:val="00245507"/>
    <w:rsid w:val="0024582E"/>
    <w:rsid w:val="002547EF"/>
    <w:rsid w:val="00256D65"/>
    <w:rsid w:val="00264F18"/>
    <w:rsid w:val="00266DBB"/>
    <w:rsid w:val="00271F00"/>
    <w:rsid w:val="00272FD0"/>
    <w:rsid w:val="002733E5"/>
    <w:rsid w:val="00273A80"/>
    <w:rsid w:val="0027513D"/>
    <w:rsid w:val="00276026"/>
    <w:rsid w:val="002761AE"/>
    <w:rsid w:val="00277401"/>
    <w:rsid w:val="0028016C"/>
    <w:rsid w:val="00281FFB"/>
    <w:rsid w:val="0028503A"/>
    <w:rsid w:val="002851C8"/>
    <w:rsid w:val="0029204E"/>
    <w:rsid w:val="00294BAD"/>
    <w:rsid w:val="0029631C"/>
    <w:rsid w:val="002A0194"/>
    <w:rsid w:val="002A5F8B"/>
    <w:rsid w:val="002A7E87"/>
    <w:rsid w:val="002A7F6C"/>
    <w:rsid w:val="002B0D8E"/>
    <w:rsid w:val="002B31D1"/>
    <w:rsid w:val="002B33D1"/>
    <w:rsid w:val="002B41A2"/>
    <w:rsid w:val="002B69CC"/>
    <w:rsid w:val="002C0A51"/>
    <w:rsid w:val="002C4A91"/>
    <w:rsid w:val="002C53BA"/>
    <w:rsid w:val="002D387A"/>
    <w:rsid w:val="002D42E2"/>
    <w:rsid w:val="002D6809"/>
    <w:rsid w:val="002D7171"/>
    <w:rsid w:val="002E086A"/>
    <w:rsid w:val="002E0FB1"/>
    <w:rsid w:val="002E2836"/>
    <w:rsid w:val="002E2996"/>
    <w:rsid w:val="002E4C3E"/>
    <w:rsid w:val="002E5DD6"/>
    <w:rsid w:val="002E7927"/>
    <w:rsid w:val="002F6488"/>
    <w:rsid w:val="002F7308"/>
    <w:rsid w:val="00300A9D"/>
    <w:rsid w:val="0030279C"/>
    <w:rsid w:val="00303722"/>
    <w:rsid w:val="00303B8C"/>
    <w:rsid w:val="00310E84"/>
    <w:rsid w:val="00315A71"/>
    <w:rsid w:val="003213F9"/>
    <w:rsid w:val="00321EB3"/>
    <w:rsid w:val="00322219"/>
    <w:rsid w:val="0032321E"/>
    <w:rsid w:val="0032327E"/>
    <w:rsid w:val="00323DBF"/>
    <w:rsid w:val="003247D6"/>
    <w:rsid w:val="003257D1"/>
    <w:rsid w:val="00326620"/>
    <w:rsid w:val="00326ACA"/>
    <w:rsid w:val="003309A8"/>
    <w:rsid w:val="00332B12"/>
    <w:rsid w:val="0033470E"/>
    <w:rsid w:val="00336711"/>
    <w:rsid w:val="0033788B"/>
    <w:rsid w:val="0034015F"/>
    <w:rsid w:val="003460CC"/>
    <w:rsid w:val="00347935"/>
    <w:rsid w:val="00350DBD"/>
    <w:rsid w:val="00351927"/>
    <w:rsid w:val="00351B07"/>
    <w:rsid w:val="0035500B"/>
    <w:rsid w:val="0036268A"/>
    <w:rsid w:val="00364841"/>
    <w:rsid w:val="00364851"/>
    <w:rsid w:val="003677C7"/>
    <w:rsid w:val="00371B29"/>
    <w:rsid w:val="00372182"/>
    <w:rsid w:val="00373A27"/>
    <w:rsid w:val="0037520F"/>
    <w:rsid w:val="003779B5"/>
    <w:rsid w:val="003848BC"/>
    <w:rsid w:val="00391769"/>
    <w:rsid w:val="00391B0E"/>
    <w:rsid w:val="003953E1"/>
    <w:rsid w:val="003956B3"/>
    <w:rsid w:val="00396C27"/>
    <w:rsid w:val="003A68BE"/>
    <w:rsid w:val="003A7229"/>
    <w:rsid w:val="003A7725"/>
    <w:rsid w:val="003B3C9D"/>
    <w:rsid w:val="003B526F"/>
    <w:rsid w:val="003B78E0"/>
    <w:rsid w:val="003C4969"/>
    <w:rsid w:val="003D00FE"/>
    <w:rsid w:val="003D13A0"/>
    <w:rsid w:val="003D1D26"/>
    <w:rsid w:val="003D1F1F"/>
    <w:rsid w:val="003D7E56"/>
    <w:rsid w:val="003E41D5"/>
    <w:rsid w:val="003E46BA"/>
    <w:rsid w:val="003E5923"/>
    <w:rsid w:val="003E7D22"/>
    <w:rsid w:val="003F2CDF"/>
    <w:rsid w:val="003F39A3"/>
    <w:rsid w:val="003F74C1"/>
    <w:rsid w:val="004042EE"/>
    <w:rsid w:val="00405B1A"/>
    <w:rsid w:val="00406227"/>
    <w:rsid w:val="00407241"/>
    <w:rsid w:val="0040761E"/>
    <w:rsid w:val="00407DF4"/>
    <w:rsid w:val="00410C76"/>
    <w:rsid w:val="00411907"/>
    <w:rsid w:val="00413CA8"/>
    <w:rsid w:val="004177FE"/>
    <w:rsid w:val="00417EE3"/>
    <w:rsid w:val="004207EB"/>
    <w:rsid w:val="00434F85"/>
    <w:rsid w:val="00435A4B"/>
    <w:rsid w:val="00435FA5"/>
    <w:rsid w:val="00436B8D"/>
    <w:rsid w:val="00437276"/>
    <w:rsid w:val="004404A5"/>
    <w:rsid w:val="00444801"/>
    <w:rsid w:val="00447E67"/>
    <w:rsid w:val="00452F00"/>
    <w:rsid w:val="0045454A"/>
    <w:rsid w:val="00454573"/>
    <w:rsid w:val="0045556F"/>
    <w:rsid w:val="00456B54"/>
    <w:rsid w:val="004629CB"/>
    <w:rsid w:val="00464625"/>
    <w:rsid w:val="00464643"/>
    <w:rsid w:val="004646F8"/>
    <w:rsid w:val="00464AA4"/>
    <w:rsid w:val="00472CF7"/>
    <w:rsid w:val="00472F97"/>
    <w:rsid w:val="004750C0"/>
    <w:rsid w:val="0048135F"/>
    <w:rsid w:val="004833D2"/>
    <w:rsid w:val="00483E92"/>
    <w:rsid w:val="00486793"/>
    <w:rsid w:val="0048724A"/>
    <w:rsid w:val="00487919"/>
    <w:rsid w:val="004914D6"/>
    <w:rsid w:val="00494745"/>
    <w:rsid w:val="0049729B"/>
    <w:rsid w:val="004A18AF"/>
    <w:rsid w:val="004A2037"/>
    <w:rsid w:val="004A3685"/>
    <w:rsid w:val="004A76AE"/>
    <w:rsid w:val="004B14B3"/>
    <w:rsid w:val="004B3A4B"/>
    <w:rsid w:val="004C12DA"/>
    <w:rsid w:val="004C2CE7"/>
    <w:rsid w:val="004C72D0"/>
    <w:rsid w:val="004D10DA"/>
    <w:rsid w:val="004D162D"/>
    <w:rsid w:val="004D30A6"/>
    <w:rsid w:val="004D6BBF"/>
    <w:rsid w:val="004E4047"/>
    <w:rsid w:val="004E4F73"/>
    <w:rsid w:val="004E5292"/>
    <w:rsid w:val="004E61D0"/>
    <w:rsid w:val="004F4F98"/>
    <w:rsid w:val="004F60EB"/>
    <w:rsid w:val="004F69F6"/>
    <w:rsid w:val="004F79AC"/>
    <w:rsid w:val="005017CF"/>
    <w:rsid w:val="00505A68"/>
    <w:rsid w:val="0050659A"/>
    <w:rsid w:val="00512290"/>
    <w:rsid w:val="00512489"/>
    <w:rsid w:val="005207D8"/>
    <w:rsid w:val="00521F70"/>
    <w:rsid w:val="0052649E"/>
    <w:rsid w:val="0053464E"/>
    <w:rsid w:val="005358A4"/>
    <w:rsid w:val="005358B0"/>
    <w:rsid w:val="0053775B"/>
    <w:rsid w:val="00540876"/>
    <w:rsid w:val="0054419F"/>
    <w:rsid w:val="005458DF"/>
    <w:rsid w:val="005528BF"/>
    <w:rsid w:val="00552A43"/>
    <w:rsid w:val="00553969"/>
    <w:rsid w:val="00562608"/>
    <w:rsid w:val="00562917"/>
    <w:rsid w:val="00563C28"/>
    <w:rsid w:val="00565B13"/>
    <w:rsid w:val="00574444"/>
    <w:rsid w:val="00581D1F"/>
    <w:rsid w:val="0058424C"/>
    <w:rsid w:val="00584E80"/>
    <w:rsid w:val="00586228"/>
    <w:rsid w:val="0059227F"/>
    <w:rsid w:val="0059498B"/>
    <w:rsid w:val="00595EFA"/>
    <w:rsid w:val="005A3A03"/>
    <w:rsid w:val="005A41CE"/>
    <w:rsid w:val="005A4612"/>
    <w:rsid w:val="005B01E7"/>
    <w:rsid w:val="005B615C"/>
    <w:rsid w:val="005B62DF"/>
    <w:rsid w:val="005B6AF4"/>
    <w:rsid w:val="005B7F20"/>
    <w:rsid w:val="005C04CB"/>
    <w:rsid w:val="005C2E99"/>
    <w:rsid w:val="005C3CB4"/>
    <w:rsid w:val="005C5FD5"/>
    <w:rsid w:val="005C71BA"/>
    <w:rsid w:val="005D0A2F"/>
    <w:rsid w:val="005D16AD"/>
    <w:rsid w:val="005D72E1"/>
    <w:rsid w:val="005D73BA"/>
    <w:rsid w:val="005E2F53"/>
    <w:rsid w:val="005E6E16"/>
    <w:rsid w:val="005F3638"/>
    <w:rsid w:val="005F400E"/>
    <w:rsid w:val="005F7342"/>
    <w:rsid w:val="00603A08"/>
    <w:rsid w:val="006066BC"/>
    <w:rsid w:val="00606C88"/>
    <w:rsid w:val="00610A3C"/>
    <w:rsid w:val="00615550"/>
    <w:rsid w:val="00617A44"/>
    <w:rsid w:val="006209D1"/>
    <w:rsid w:val="006211CD"/>
    <w:rsid w:val="00627F48"/>
    <w:rsid w:val="00633ACA"/>
    <w:rsid w:val="006342E0"/>
    <w:rsid w:val="00641371"/>
    <w:rsid w:val="00641715"/>
    <w:rsid w:val="00642A47"/>
    <w:rsid w:val="00646FDD"/>
    <w:rsid w:val="00653016"/>
    <w:rsid w:val="006532A6"/>
    <w:rsid w:val="00656899"/>
    <w:rsid w:val="00663FCF"/>
    <w:rsid w:val="006652A2"/>
    <w:rsid w:val="006737E1"/>
    <w:rsid w:val="00674BCB"/>
    <w:rsid w:val="00681190"/>
    <w:rsid w:val="00681754"/>
    <w:rsid w:val="00681D53"/>
    <w:rsid w:val="00683E69"/>
    <w:rsid w:val="00684862"/>
    <w:rsid w:val="00685269"/>
    <w:rsid w:val="00686071"/>
    <w:rsid w:val="006937FF"/>
    <w:rsid w:val="006965BF"/>
    <w:rsid w:val="006A255E"/>
    <w:rsid w:val="006A48A7"/>
    <w:rsid w:val="006A7111"/>
    <w:rsid w:val="006B2BF4"/>
    <w:rsid w:val="006B3CC0"/>
    <w:rsid w:val="006B40A9"/>
    <w:rsid w:val="006B4BA1"/>
    <w:rsid w:val="006B4DB0"/>
    <w:rsid w:val="006C22CF"/>
    <w:rsid w:val="006C28E2"/>
    <w:rsid w:val="006C32CD"/>
    <w:rsid w:val="006C3D0D"/>
    <w:rsid w:val="006C5CF5"/>
    <w:rsid w:val="006C60B0"/>
    <w:rsid w:val="006D02B1"/>
    <w:rsid w:val="006D3603"/>
    <w:rsid w:val="006D6874"/>
    <w:rsid w:val="006E4D67"/>
    <w:rsid w:val="006E527D"/>
    <w:rsid w:val="006F17A0"/>
    <w:rsid w:val="006F4A82"/>
    <w:rsid w:val="006F55B7"/>
    <w:rsid w:val="006F6604"/>
    <w:rsid w:val="006F7F85"/>
    <w:rsid w:val="00700239"/>
    <w:rsid w:val="0070373B"/>
    <w:rsid w:val="007045BA"/>
    <w:rsid w:val="00707E72"/>
    <w:rsid w:val="007113EB"/>
    <w:rsid w:val="00711E4D"/>
    <w:rsid w:val="00716B11"/>
    <w:rsid w:val="0072150F"/>
    <w:rsid w:val="00724FA4"/>
    <w:rsid w:val="00726C2F"/>
    <w:rsid w:val="0072709C"/>
    <w:rsid w:val="00730800"/>
    <w:rsid w:val="007364A6"/>
    <w:rsid w:val="007368AB"/>
    <w:rsid w:val="00737902"/>
    <w:rsid w:val="00737F4E"/>
    <w:rsid w:val="00741C77"/>
    <w:rsid w:val="00741EFE"/>
    <w:rsid w:val="00744945"/>
    <w:rsid w:val="00744BC8"/>
    <w:rsid w:val="00745823"/>
    <w:rsid w:val="007602AA"/>
    <w:rsid w:val="007652EF"/>
    <w:rsid w:val="00772BDC"/>
    <w:rsid w:val="00773033"/>
    <w:rsid w:val="00774F08"/>
    <w:rsid w:val="00780792"/>
    <w:rsid w:val="007914AF"/>
    <w:rsid w:val="00793D38"/>
    <w:rsid w:val="00795C27"/>
    <w:rsid w:val="00795CE7"/>
    <w:rsid w:val="00797F29"/>
    <w:rsid w:val="007A0D8C"/>
    <w:rsid w:val="007A1D7D"/>
    <w:rsid w:val="007A44B4"/>
    <w:rsid w:val="007A5E0B"/>
    <w:rsid w:val="007A7D3D"/>
    <w:rsid w:val="007B03BF"/>
    <w:rsid w:val="007B1499"/>
    <w:rsid w:val="007B225D"/>
    <w:rsid w:val="007B2AD6"/>
    <w:rsid w:val="007B4B37"/>
    <w:rsid w:val="007C174F"/>
    <w:rsid w:val="007C1C64"/>
    <w:rsid w:val="007C312B"/>
    <w:rsid w:val="007D40A1"/>
    <w:rsid w:val="007E09B3"/>
    <w:rsid w:val="007E39CB"/>
    <w:rsid w:val="007E48BC"/>
    <w:rsid w:val="007E51CE"/>
    <w:rsid w:val="007E79F7"/>
    <w:rsid w:val="007F1ADB"/>
    <w:rsid w:val="007F3630"/>
    <w:rsid w:val="007F7A7E"/>
    <w:rsid w:val="00803219"/>
    <w:rsid w:val="00804244"/>
    <w:rsid w:val="00805114"/>
    <w:rsid w:val="00807559"/>
    <w:rsid w:val="00826363"/>
    <w:rsid w:val="00827ECC"/>
    <w:rsid w:val="00833063"/>
    <w:rsid w:val="008426D6"/>
    <w:rsid w:val="008450BC"/>
    <w:rsid w:val="00851A60"/>
    <w:rsid w:val="0085334B"/>
    <w:rsid w:val="00853C67"/>
    <w:rsid w:val="0086652E"/>
    <w:rsid w:val="00867399"/>
    <w:rsid w:val="00867B23"/>
    <w:rsid w:val="00870214"/>
    <w:rsid w:val="00874377"/>
    <w:rsid w:val="008760CA"/>
    <w:rsid w:val="00876515"/>
    <w:rsid w:val="008828D9"/>
    <w:rsid w:val="00885C51"/>
    <w:rsid w:val="00885EB0"/>
    <w:rsid w:val="00886751"/>
    <w:rsid w:val="00891F73"/>
    <w:rsid w:val="0089252A"/>
    <w:rsid w:val="0089264A"/>
    <w:rsid w:val="00895885"/>
    <w:rsid w:val="00896B85"/>
    <w:rsid w:val="00897554"/>
    <w:rsid w:val="008A22BE"/>
    <w:rsid w:val="008A2834"/>
    <w:rsid w:val="008A3221"/>
    <w:rsid w:val="008A35FB"/>
    <w:rsid w:val="008A49C6"/>
    <w:rsid w:val="008B0075"/>
    <w:rsid w:val="008B5567"/>
    <w:rsid w:val="008C0509"/>
    <w:rsid w:val="008C0E7A"/>
    <w:rsid w:val="008C1B36"/>
    <w:rsid w:val="008D0424"/>
    <w:rsid w:val="008D06C6"/>
    <w:rsid w:val="008E0469"/>
    <w:rsid w:val="008E1A40"/>
    <w:rsid w:val="008E4F98"/>
    <w:rsid w:val="008E6250"/>
    <w:rsid w:val="008E6DE4"/>
    <w:rsid w:val="008E6F84"/>
    <w:rsid w:val="008E71A8"/>
    <w:rsid w:val="008F0B36"/>
    <w:rsid w:val="008F1B4C"/>
    <w:rsid w:val="008F59A7"/>
    <w:rsid w:val="00901B91"/>
    <w:rsid w:val="00901EF6"/>
    <w:rsid w:val="00902AF6"/>
    <w:rsid w:val="00914030"/>
    <w:rsid w:val="00915DD4"/>
    <w:rsid w:val="00917927"/>
    <w:rsid w:val="00920249"/>
    <w:rsid w:val="0092261F"/>
    <w:rsid w:val="00924C44"/>
    <w:rsid w:val="00924C80"/>
    <w:rsid w:val="00924F46"/>
    <w:rsid w:val="00932C23"/>
    <w:rsid w:val="00932F14"/>
    <w:rsid w:val="0093681F"/>
    <w:rsid w:val="00940F7E"/>
    <w:rsid w:val="00941162"/>
    <w:rsid w:val="00941AD7"/>
    <w:rsid w:val="0094247F"/>
    <w:rsid w:val="00942D60"/>
    <w:rsid w:val="00942E4A"/>
    <w:rsid w:val="00944BA4"/>
    <w:rsid w:val="00946FE8"/>
    <w:rsid w:val="00956F13"/>
    <w:rsid w:val="00961899"/>
    <w:rsid w:val="009619CE"/>
    <w:rsid w:val="00962D86"/>
    <w:rsid w:val="0096523B"/>
    <w:rsid w:val="00966EE3"/>
    <w:rsid w:val="00972D06"/>
    <w:rsid w:val="00976520"/>
    <w:rsid w:val="009779A2"/>
    <w:rsid w:val="00980F6C"/>
    <w:rsid w:val="009834C8"/>
    <w:rsid w:val="00995D98"/>
    <w:rsid w:val="009A183A"/>
    <w:rsid w:val="009A391C"/>
    <w:rsid w:val="009A4F9E"/>
    <w:rsid w:val="009A50F2"/>
    <w:rsid w:val="009B187A"/>
    <w:rsid w:val="009B306D"/>
    <w:rsid w:val="009B5163"/>
    <w:rsid w:val="009B6C39"/>
    <w:rsid w:val="009C4322"/>
    <w:rsid w:val="009C6620"/>
    <w:rsid w:val="009D25D3"/>
    <w:rsid w:val="009D5C8F"/>
    <w:rsid w:val="009D691F"/>
    <w:rsid w:val="009D6B10"/>
    <w:rsid w:val="009D790B"/>
    <w:rsid w:val="009D7ABB"/>
    <w:rsid w:val="009E0A61"/>
    <w:rsid w:val="009E3010"/>
    <w:rsid w:val="009E484F"/>
    <w:rsid w:val="009E6392"/>
    <w:rsid w:val="009E6B22"/>
    <w:rsid w:val="009E6E3D"/>
    <w:rsid w:val="009F007E"/>
    <w:rsid w:val="009F1BCF"/>
    <w:rsid w:val="009F32F8"/>
    <w:rsid w:val="009F62C7"/>
    <w:rsid w:val="009F7065"/>
    <w:rsid w:val="00A03A5C"/>
    <w:rsid w:val="00A12269"/>
    <w:rsid w:val="00A1229E"/>
    <w:rsid w:val="00A12B44"/>
    <w:rsid w:val="00A131EA"/>
    <w:rsid w:val="00A14C25"/>
    <w:rsid w:val="00A33601"/>
    <w:rsid w:val="00A35DDA"/>
    <w:rsid w:val="00A40193"/>
    <w:rsid w:val="00A402F5"/>
    <w:rsid w:val="00A4175D"/>
    <w:rsid w:val="00A54934"/>
    <w:rsid w:val="00A56DC7"/>
    <w:rsid w:val="00A56E34"/>
    <w:rsid w:val="00A60BD0"/>
    <w:rsid w:val="00A66856"/>
    <w:rsid w:val="00A704BA"/>
    <w:rsid w:val="00A74FD1"/>
    <w:rsid w:val="00A77238"/>
    <w:rsid w:val="00A84A58"/>
    <w:rsid w:val="00A91DF1"/>
    <w:rsid w:val="00A92834"/>
    <w:rsid w:val="00A97724"/>
    <w:rsid w:val="00AA0BD7"/>
    <w:rsid w:val="00AA5851"/>
    <w:rsid w:val="00AB0275"/>
    <w:rsid w:val="00AB27F4"/>
    <w:rsid w:val="00AB50FF"/>
    <w:rsid w:val="00AB69FE"/>
    <w:rsid w:val="00AC33C0"/>
    <w:rsid w:val="00AC74CB"/>
    <w:rsid w:val="00AC7D3B"/>
    <w:rsid w:val="00AD22F9"/>
    <w:rsid w:val="00AD2E0B"/>
    <w:rsid w:val="00AD43CB"/>
    <w:rsid w:val="00AD7A3D"/>
    <w:rsid w:val="00AE3091"/>
    <w:rsid w:val="00AE480C"/>
    <w:rsid w:val="00AE4E6E"/>
    <w:rsid w:val="00AE52E1"/>
    <w:rsid w:val="00AE54F0"/>
    <w:rsid w:val="00AE766D"/>
    <w:rsid w:val="00AE771B"/>
    <w:rsid w:val="00AF06FC"/>
    <w:rsid w:val="00AF3391"/>
    <w:rsid w:val="00AF387F"/>
    <w:rsid w:val="00AF5A1E"/>
    <w:rsid w:val="00AF602C"/>
    <w:rsid w:val="00AF72D4"/>
    <w:rsid w:val="00B00E7F"/>
    <w:rsid w:val="00B11F11"/>
    <w:rsid w:val="00B173DA"/>
    <w:rsid w:val="00B174EF"/>
    <w:rsid w:val="00B20DD0"/>
    <w:rsid w:val="00B21DCC"/>
    <w:rsid w:val="00B22BD6"/>
    <w:rsid w:val="00B25F37"/>
    <w:rsid w:val="00B32932"/>
    <w:rsid w:val="00B3757B"/>
    <w:rsid w:val="00B402AA"/>
    <w:rsid w:val="00B40FA8"/>
    <w:rsid w:val="00B44422"/>
    <w:rsid w:val="00B46EA0"/>
    <w:rsid w:val="00B5076B"/>
    <w:rsid w:val="00B51E03"/>
    <w:rsid w:val="00B53947"/>
    <w:rsid w:val="00B65710"/>
    <w:rsid w:val="00B71F51"/>
    <w:rsid w:val="00B731D3"/>
    <w:rsid w:val="00B750B9"/>
    <w:rsid w:val="00B839A3"/>
    <w:rsid w:val="00B853D2"/>
    <w:rsid w:val="00B902BD"/>
    <w:rsid w:val="00B95D71"/>
    <w:rsid w:val="00B9694C"/>
    <w:rsid w:val="00BA24E2"/>
    <w:rsid w:val="00BA271A"/>
    <w:rsid w:val="00BA6DD8"/>
    <w:rsid w:val="00BB35AC"/>
    <w:rsid w:val="00BB5930"/>
    <w:rsid w:val="00BB6747"/>
    <w:rsid w:val="00BB6DA4"/>
    <w:rsid w:val="00BC25C9"/>
    <w:rsid w:val="00BC4805"/>
    <w:rsid w:val="00BC7746"/>
    <w:rsid w:val="00BD2A39"/>
    <w:rsid w:val="00BD2E80"/>
    <w:rsid w:val="00BD2EB1"/>
    <w:rsid w:val="00BE07D4"/>
    <w:rsid w:val="00BE11B8"/>
    <w:rsid w:val="00BE16B4"/>
    <w:rsid w:val="00BE3818"/>
    <w:rsid w:val="00BE66A9"/>
    <w:rsid w:val="00BF13D7"/>
    <w:rsid w:val="00BF14D8"/>
    <w:rsid w:val="00BF4215"/>
    <w:rsid w:val="00BF7FF0"/>
    <w:rsid w:val="00C01043"/>
    <w:rsid w:val="00C05746"/>
    <w:rsid w:val="00C07527"/>
    <w:rsid w:val="00C103E6"/>
    <w:rsid w:val="00C12502"/>
    <w:rsid w:val="00C1266C"/>
    <w:rsid w:val="00C14FD2"/>
    <w:rsid w:val="00C2298A"/>
    <w:rsid w:val="00C36578"/>
    <w:rsid w:val="00C40AA5"/>
    <w:rsid w:val="00C44CE6"/>
    <w:rsid w:val="00C46F70"/>
    <w:rsid w:val="00C476D0"/>
    <w:rsid w:val="00C504DE"/>
    <w:rsid w:val="00C5601A"/>
    <w:rsid w:val="00C56F71"/>
    <w:rsid w:val="00C60DB6"/>
    <w:rsid w:val="00C63580"/>
    <w:rsid w:val="00C67335"/>
    <w:rsid w:val="00C677D0"/>
    <w:rsid w:val="00C71E95"/>
    <w:rsid w:val="00C72C49"/>
    <w:rsid w:val="00C7342F"/>
    <w:rsid w:val="00C75E04"/>
    <w:rsid w:val="00C836E3"/>
    <w:rsid w:val="00C86577"/>
    <w:rsid w:val="00C92E07"/>
    <w:rsid w:val="00C94942"/>
    <w:rsid w:val="00C95A55"/>
    <w:rsid w:val="00C96868"/>
    <w:rsid w:val="00C96A50"/>
    <w:rsid w:val="00C974A1"/>
    <w:rsid w:val="00C974B0"/>
    <w:rsid w:val="00CA0416"/>
    <w:rsid w:val="00CA180C"/>
    <w:rsid w:val="00CA3BE8"/>
    <w:rsid w:val="00CA3C65"/>
    <w:rsid w:val="00CA6820"/>
    <w:rsid w:val="00CA7F35"/>
    <w:rsid w:val="00CB1375"/>
    <w:rsid w:val="00CB553B"/>
    <w:rsid w:val="00CC1646"/>
    <w:rsid w:val="00CC36E7"/>
    <w:rsid w:val="00CC36EE"/>
    <w:rsid w:val="00CC560B"/>
    <w:rsid w:val="00CC75E2"/>
    <w:rsid w:val="00CD352C"/>
    <w:rsid w:val="00CD46EB"/>
    <w:rsid w:val="00CD7EBF"/>
    <w:rsid w:val="00CE0AEB"/>
    <w:rsid w:val="00CE25C8"/>
    <w:rsid w:val="00CE40AE"/>
    <w:rsid w:val="00CE41CE"/>
    <w:rsid w:val="00CE5966"/>
    <w:rsid w:val="00CF072E"/>
    <w:rsid w:val="00D005D0"/>
    <w:rsid w:val="00D04529"/>
    <w:rsid w:val="00D056F1"/>
    <w:rsid w:val="00D062E4"/>
    <w:rsid w:val="00D074F8"/>
    <w:rsid w:val="00D11171"/>
    <w:rsid w:val="00D11E6D"/>
    <w:rsid w:val="00D14388"/>
    <w:rsid w:val="00D14405"/>
    <w:rsid w:val="00D2071E"/>
    <w:rsid w:val="00D209C9"/>
    <w:rsid w:val="00D211BE"/>
    <w:rsid w:val="00D22F3C"/>
    <w:rsid w:val="00D237E4"/>
    <w:rsid w:val="00D23DB6"/>
    <w:rsid w:val="00D26814"/>
    <w:rsid w:val="00D278EC"/>
    <w:rsid w:val="00D3171B"/>
    <w:rsid w:val="00D33F56"/>
    <w:rsid w:val="00D41DB0"/>
    <w:rsid w:val="00D439AF"/>
    <w:rsid w:val="00D43FE6"/>
    <w:rsid w:val="00D51A95"/>
    <w:rsid w:val="00D52F69"/>
    <w:rsid w:val="00D56829"/>
    <w:rsid w:val="00D60568"/>
    <w:rsid w:val="00D66EF2"/>
    <w:rsid w:val="00D676CF"/>
    <w:rsid w:val="00D70C7A"/>
    <w:rsid w:val="00D73931"/>
    <w:rsid w:val="00D74EB4"/>
    <w:rsid w:val="00D75584"/>
    <w:rsid w:val="00D771BD"/>
    <w:rsid w:val="00D819D1"/>
    <w:rsid w:val="00D81D38"/>
    <w:rsid w:val="00D82B3D"/>
    <w:rsid w:val="00D8470F"/>
    <w:rsid w:val="00D8471A"/>
    <w:rsid w:val="00D94E0D"/>
    <w:rsid w:val="00D9640C"/>
    <w:rsid w:val="00DA10A8"/>
    <w:rsid w:val="00DA34AF"/>
    <w:rsid w:val="00DA46AE"/>
    <w:rsid w:val="00DB1E08"/>
    <w:rsid w:val="00DB2973"/>
    <w:rsid w:val="00DB3078"/>
    <w:rsid w:val="00DB324A"/>
    <w:rsid w:val="00DB7A08"/>
    <w:rsid w:val="00DC0E0A"/>
    <w:rsid w:val="00DC1B56"/>
    <w:rsid w:val="00DC2129"/>
    <w:rsid w:val="00DC3C72"/>
    <w:rsid w:val="00DC6570"/>
    <w:rsid w:val="00DC7245"/>
    <w:rsid w:val="00DD3C5E"/>
    <w:rsid w:val="00DE0266"/>
    <w:rsid w:val="00DE4135"/>
    <w:rsid w:val="00DE6A10"/>
    <w:rsid w:val="00DE7270"/>
    <w:rsid w:val="00DE79D9"/>
    <w:rsid w:val="00DF21A5"/>
    <w:rsid w:val="00DF25C3"/>
    <w:rsid w:val="00DF4C88"/>
    <w:rsid w:val="00E03F89"/>
    <w:rsid w:val="00E04062"/>
    <w:rsid w:val="00E0417C"/>
    <w:rsid w:val="00E05275"/>
    <w:rsid w:val="00E063C6"/>
    <w:rsid w:val="00E07A82"/>
    <w:rsid w:val="00E11BEB"/>
    <w:rsid w:val="00E136DE"/>
    <w:rsid w:val="00E16FFA"/>
    <w:rsid w:val="00E2003B"/>
    <w:rsid w:val="00E203C2"/>
    <w:rsid w:val="00E24DE8"/>
    <w:rsid w:val="00E26FED"/>
    <w:rsid w:val="00E279D8"/>
    <w:rsid w:val="00E319B1"/>
    <w:rsid w:val="00E31EAA"/>
    <w:rsid w:val="00E36BFB"/>
    <w:rsid w:val="00E36DFD"/>
    <w:rsid w:val="00E373FF"/>
    <w:rsid w:val="00E40ED4"/>
    <w:rsid w:val="00E4174D"/>
    <w:rsid w:val="00E44E0D"/>
    <w:rsid w:val="00E46A76"/>
    <w:rsid w:val="00E47688"/>
    <w:rsid w:val="00E520FE"/>
    <w:rsid w:val="00E52683"/>
    <w:rsid w:val="00E5492F"/>
    <w:rsid w:val="00E5700F"/>
    <w:rsid w:val="00E62DEF"/>
    <w:rsid w:val="00E631B2"/>
    <w:rsid w:val="00E66C5A"/>
    <w:rsid w:val="00E67351"/>
    <w:rsid w:val="00E67632"/>
    <w:rsid w:val="00E70A86"/>
    <w:rsid w:val="00E75054"/>
    <w:rsid w:val="00E751D6"/>
    <w:rsid w:val="00E76D21"/>
    <w:rsid w:val="00E777EC"/>
    <w:rsid w:val="00E80FCD"/>
    <w:rsid w:val="00E81055"/>
    <w:rsid w:val="00E81F6E"/>
    <w:rsid w:val="00E820A4"/>
    <w:rsid w:val="00E82A47"/>
    <w:rsid w:val="00E82D65"/>
    <w:rsid w:val="00EA7F2F"/>
    <w:rsid w:val="00EB2F6A"/>
    <w:rsid w:val="00EB3DFC"/>
    <w:rsid w:val="00EB3E2C"/>
    <w:rsid w:val="00EC00DE"/>
    <w:rsid w:val="00EC2ADE"/>
    <w:rsid w:val="00EC30E1"/>
    <w:rsid w:val="00EC7A0F"/>
    <w:rsid w:val="00EC7DDA"/>
    <w:rsid w:val="00ED172A"/>
    <w:rsid w:val="00ED3019"/>
    <w:rsid w:val="00EE0A23"/>
    <w:rsid w:val="00EF2F88"/>
    <w:rsid w:val="00EF509F"/>
    <w:rsid w:val="00EF5658"/>
    <w:rsid w:val="00EF6F6C"/>
    <w:rsid w:val="00F0750B"/>
    <w:rsid w:val="00F10BD9"/>
    <w:rsid w:val="00F114B5"/>
    <w:rsid w:val="00F12241"/>
    <w:rsid w:val="00F14BEC"/>
    <w:rsid w:val="00F21F94"/>
    <w:rsid w:val="00F225C5"/>
    <w:rsid w:val="00F22916"/>
    <w:rsid w:val="00F2587A"/>
    <w:rsid w:val="00F33BB8"/>
    <w:rsid w:val="00F367E7"/>
    <w:rsid w:val="00F3715D"/>
    <w:rsid w:val="00F37E1E"/>
    <w:rsid w:val="00F417CA"/>
    <w:rsid w:val="00F41815"/>
    <w:rsid w:val="00F41D77"/>
    <w:rsid w:val="00F420C8"/>
    <w:rsid w:val="00F42937"/>
    <w:rsid w:val="00F42A4C"/>
    <w:rsid w:val="00F4587A"/>
    <w:rsid w:val="00F514E3"/>
    <w:rsid w:val="00F53B04"/>
    <w:rsid w:val="00F55408"/>
    <w:rsid w:val="00F604DE"/>
    <w:rsid w:val="00F61A96"/>
    <w:rsid w:val="00F61FD5"/>
    <w:rsid w:val="00F62AE3"/>
    <w:rsid w:val="00F64653"/>
    <w:rsid w:val="00F67B11"/>
    <w:rsid w:val="00F70D43"/>
    <w:rsid w:val="00F70F5D"/>
    <w:rsid w:val="00F74E8C"/>
    <w:rsid w:val="00F77D75"/>
    <w:rsid w:val="00F8176E"/>
    <w:rsid w:val="00F81C52"/>
    <w:rsid w:val="00F81D0F"/>
    <w:rsid w:val="00F95FC0"/>
    <w:rsid w:val="00FA241F"/>
    <w:rsid w:val="00FA31E4"/>
    <w:rsid w:val="00FA754A"/>
    <w:rsid w:val="00FB1533"/>
    <w:rsid w:val="00FB67A3"/>
    <w:rsid w:val="00FB7115"/>
    <w:rsid w:val="00FB74C2"/>
    <w:rsid w:val="00FB7512"/>
    <w:rsid w:val="00FC7A26"/>
    <w:rsid w:val="00FD2FBE"/>
    <w:rsid w:val="00FD57E3"/>
    <w:rsid w:val="00FD69D9"/>
    <w:rsid w:val="00FD7547"/>
    <w:rsid w:val="00FD777A"/>
    <w:rsid w:val="00FE0F7C"/>
    <w:rsid w:val="00FE40A3"/>
    <w:rsid w:val="00FE7DBF"/>
    <w:rsid w:val="00FF3448"/>
    <w:rsid w:val="00FF5B98"/>
    <w:rsid w:val="00FF5D6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60D1D"/>
  <w15:docId w15:val="{FDAE8B82-0816-4FAB-A57F-343DCC5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Title">
    <w:name w:val="Title"/>
    <w:basedOn w:val="Normal"/>
    <w:link w:val="TitleChar"/>
    <w:rsid w:val="00512489"/>
    <w:pPr>
      <w:widowControl/>
      <w:jc w:val="center"/>
    </w:pPr>
    <w:rPr>
      <w:b/>
      <w:bCs/>
      <w:i/>
      <w:iCs/>
      <w:lang w:val="en-AU" w:bidi="ar-SA"/>
    </w:rPr>
  </w:style>
  <w:style w:type="character" w:customStyle="1" w:styleId="TitleChar">
    <w:name w:val="Title Char"/>
    <w:basedOn w:val="DefaultParagraphFont"/>
    <w:link w:val="Title"/>
    <w:rsid w:val="00512489"/>
    <w:rPr>
      <w:rFonts w:ascii="Arial" w:hAnsi="Arial"/>
      <w:b/>
      <w:bCs/>
      <w:i/>
      <w:iCs/>
      <w:sz w:val="22"/>
      <w:szCs w:val="24"/>
      <w:lang w:val="en-AU" w:eastAsia="en-US"/>
    </w:rPr>
  </w:style>
  <w:style w:type="paragraph" w:customStyle="1" w:styleId="Default">
    <w:name w:val="Default"/>
    <w:rsid w:val="003D7E56"/>
    <w:pPr>
      <w:autoSpaceDE w:val="0"/>
      <w:autoSpaceDN w:val="0"/>
      <w:adjustRightInd w:val="0"/>
    </w:pPr>
    <w:rPr>
      <w:rFonts w:ascii="Arial" w:hAnsi="Arial" w:cs="Arial"/>
      <w:color w:val="000000"/>
      <w:sz w:val="24"/>
      <w:szCs w:val="24"/>
      <w:lang w:val="en-NZ"/>
    </w:rPr>
  </w:style>
  <w:style w:type="paragraph" w:styleId="ListParagraph">
    <w:name w:val="List Paragraph"/>
    <w:basedOn w:val="Normal"/>
    <w:uiPriority w:val="34"/>
    <w:rsid w:val="00F10BD9"/>
    <w:pPr>
      <w:ind w:left="720"/>
      <w:contextualSpacing/>
    </w:pPr>
  </w:style>
  <w:style w:type="table" w:customStyle="1" w:styleId="TableGrid1">
    <w:name w:val="Table Grid1"/>
    <w:basedOn w:val="TableNormal"/>
    <w:next w:val="TableGrid"/>
    <w:rsid w:val="003F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s Text,FSFootnotes Text"/>
    <w:basedOn w:val="Normal"/>
    <w:link w:val="FootnoteTextChar"/>
    <w:rsid w:val="00AA5851"/>
    <w:rPr>
      <w:sz w:val="20"/>
      <w:szCs w:val="20"/>
    </w:rPr>
  </w:style>
  <w:style w:type="character" w:customStyle="1" w:styleId="FootnoteTextChar">
    <w:name w:val="Footnote Text Char"/>
    <w:aliases w:val="Footnotes Text Char,FSFootnotes Text Char"/>
    <w:basedOn w:val="DefaultParagraphFont"/>
    <w:link w:val="FootnoteText"/>
    <w:rsid w:val="00AA5851"/>
    <w:rPr>
      <w:rFonts w:ascii="Arial" w:hAnsi="Arial"/>
      <w:lang w:eastAsia="en-US" w:bidi="en-US"/>
    </w:rPr>
  </w:style>
  <w:style w:type="paragraph" w:styleId="EndnoteText">
    <w:name w:val="endnote text"/>
    <w:basedOn w:val="Normal"/>
    <w:link w:val="EndnoteTextChar"/>
    <w:semiHidden/>
    <w:unhideWhenUsed/>
    <w:rsid w:val="001E3E78"/>
    <w:rPr>
      <w:sz w:val="20"/>
      <w:szCs w:val="20"/>
    </w:rPr>
  </w:style>
  <w:style w:type="character" w:customStyle="1" w:styleId="EndnoteTextChar">
    <w:name w:val="Endnote Text Char"/>
    <w:basedOn w:val="DefaultParagraphFont"/>
    <w:link w:val="EndnoteText"/>
    <w:semiHidden/>
    <w:rsid w:val="001E3E78"/>
    <w:rPr>
      <w:rFonts w:ascii="Arial" w:hAnsi="Arial"/>
      <w:lang w:eastAsia="en-US" w:bidi="en-US"/>
    </w:rPr>
  </w:style>
  <w:style w:type="character" w:styleId="EndnoteReference">
    <w:name w:val="endnote reference"/>
    <w:basedOn w:val="DefaultParagraphFont"/>
    <w:semiHidden/>
    <w:unhideWhenUsed/>
    <w:rsid w:val="001E3E78"/>
    <w:rPr>
      <w:vertAlign w:val="superscript"/>
    </w:rPr>
  </w:style>
  <w:style w:type="table" w:customStyle="1" w:styleId="TableGrid2">
    <w:name w:val="Table Grid2"/>
    <w:basedOn w:val="TableNormal"/>
    <w:next w:val="TableGrid"/>
    <w:rsid w:val="00F95FC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30265939">
      <w:bodyDiv w:val="1"/>
      <w:marLeft w:val="0"/>
      <w:marRight w:val="0"/>
      <w:marTop w:val="0"/>
      <w:marBottom w:val="0"/>
      <w:divBdr>
        <w:top w:val="none" w:sz="0" w:space="0" w:color="auto"/>
        <w:left w:val="none" w:sz="0" w:space="0" w:color="auto"/>
        <w:bottom w:val="none" w:sz="0" w:space="0" w:color="auto"/>
        <w:right w:val="none" w:sz="0" w:space="0" w:color="auto"/>
      </w:divBdr>
      <w:divsChild>
        <w:div w:id="1487474710">
          <w:marLeft w:val="0"/>
          <w:marRight w:val="0"/>
          <w:marTop w:val="0"/>
          <w:marBottom w:val="0"/>
          <w:divBdr>
            <w:top w:val="none" w:sz="0" w:space="0" w:color="auto"/>
            <w:left w:val="none" w:sz="0" w:space="0" w:color="auto"/>
            <w:bottom w:val="none" w:sz="0" w:space="0" w:color="auto"/>
            <w:right w:val="none" w:sz="0" w:space="0" w:color="auto"/>
          </w:divBdr>
          <w:divsChild>
            <w:div w:id="75976051">
              <w:marLeft w:val="0"/>
              <w:marRight w:val="0"/>
              <w:marTop w:val="0"/>
              <w:marBottom w:val="0"/>
              <w:divBdr>
                <w:top w:val="none" w:sz="0" w:space="0" w:color="auto"/>
                <w:left w:val="none" w:sz="0" w:space="0" w:color="auto"/>
                <w:bottom w:val="none" w:sz="0" w:space="0" w:color="auto"/>
                <w:right w:val="none" w:sz="0" w:space="0" w:color="auto"/>
              </w:divBdr>
              <w:divsChild>
                <w:div w:id="912348369">
                  <w:marLeft w:val="0"/>
                  <w:marRight w:val="0"/>
                  <w:marTop w:val="0"/>
                  <w:marBottom w:val="0"/>
                  <w:divBdr>
                    <w:top w:val="none" w:sz="0" w:space="0" w:color="auto"/>
                    <w:left w:val="none" w:sz="0" w:space="0" w:color="auto"/>
                    <w:bottom w:val="none" w:sz="0" w:space="0" w:color="auto"/>
                    <w:right w:val="none" w:sz="0" w:space="0" w:color="auto"/>
                  </w:divBdr>
                  <w:divsChild>
                    <w:div w:id="814641625">
                      <w:marLeft w:val="0"/>
                      <w:marRight w:val="0"/>
                      <w:marTop w:val="0"/>
                      <w:marBottom w:val="0"/>
                      <w:divBdr>
                        <w:top w:val="none" w:sz="0" w:space="0" w:color="auto"/>
                        <w:left w:val="none" w:sz="0" w:space="0" w:color="auto"/>
                        <w:bottom w:val="none" w:sz="0" w:space="0" w:color="auto"/>
                        <w:right w:val="none" w:sz="0" w:space="0" w:color="auto"/>
                      </w:divBdr>
                      <w:divsChild>
                        <w:div w:id="136338740">
                          <w:marLeft w:val="0"/>
                          <w:marRight w:val="0"/>
                          <w:marTop w:val="0"/>
                          <w:marBottom w:val="0"/>
                          <w:divBdr>
                            <w:top w:val="none" w:sz="0" w:space="0" w:color="auto"/>
                            <w:left w:val="none" w:sz="0" w:space="0" w:color="auto"/>
                            <w:bottom w:val="none" w:sz="0" w:space="0" w:color="auto"/>
                            <w:right w:val="none" w:sz="0" w:space="0" w:color="auto"/>
                          </w:divBdr>
                          <w:divsChild>
                            <w:div w:id="219946603">
                              <w:marLeft w:val="0"/>
                              <w:marRight w:val="0"/>
                              <w:marTop w:val="0"/>
                              <w:marBottom w:val="0"/>
                              <w:divBdr>
                                <w:top w:val="none" w:sz="0" w:space="0" w:color="auto"/>
                                <w:left w:val="none" w:sz="0" w:space="0" w:color="auto"/>
                                <w:bottom w:val="none" w:sz="0" w:space="0" w:color="auto"/>
                                <w:right w:val="none" w:sz="0" w:space="0" w:color="auto"/>
                              </w:divBdr>
                              <w:divsChild>
                                <w:div w:id="231233119">
                                  <w:marLeft w:val="0"/>
                                  <w:marRight w:val="0"/>
                                  <w:marTop w:val="0"/>
                                  <w:marBottom w:val="0"/>
                                  <w:divBdr>
                                    <w:top w:val="none" w:sz="0" w:space="0" w:color="auto"/>
                                    <w:left w:val="none" w:sz="0" w:space="0" w:color="auto"/>
                                    <w:bottom w:val="none" w:sz="0" w:space="0" w:color="auto"/>
                                    <w:right w:val="none" w:sz="0" w:space="0" w:color="auto"/>
                                  </w:divBdr>
                                  <w:divsChild>
                                    <w:div w:id="1379276775">
                                      <w:marLeft w:val="0"/>
                                      <w:marRight w:val="0"/>
                                      <w:marTop w:val="0"/>
                                      <w:marBottom w:val="0"/>
                                      <w:divBdr>
                                        <w:top w:val="none" w:sz="0" w:space="0" w:color="auto"/>
                                        <w:left w:val="none" w:sz="0" w:space="0" w:color="auto"/>
                                        <w:bottom w:val="none" w:sz="0" w:space="0" w:color="auto"/>
                                        <w:right w:val="none" w:sz="0" w:space="0" w:color="auto"/>
                                      </w:divBdr>
                                      <w:divsChild>
                                        <w:div w:id="126975000">
                                          <w:marLeft w:val="0"/>
                                          <w:marRight w:val="0"/>
                                          <w:marTop w:val="0"/>
                                          <w:marBottom w:val="0"/>
                                          <w:divBdr>
                                            <w:top w:val="none" w:sz="0" w:space="0" w:color="auto"/>
                                            <w:left w:val="none" w:sz="0" w:space="0" w:color="auto"/>
                                            <w:bottom w:val="none" w:sz="0" w:space="0" w:color="auto"/>
                                            <w:right w:val="none" w:sz="0" w:space="0" w:color="auto"/>
                                          </w:divBdr>
                                          <w:divsChild>
                                            <w:div w:id="1710061803">
                                              <w:marLeft w:val="0"/>
                                              <w:marRight w:val="0"/>
                                              <w:marTop w:val="0"/>
                                              <w:marBottom w:val="0"/>
                                              <w:divBdr>
                                                <w:top w:val="none" w:sz="0" w:space="0" w:color="auto"/>
                                                <w:left w:val="none" w:sz="0" w:space="0" w:color="auto"/>
                                                <w:bottom w:val="none" w:sz="0" w:space="0" w:color="auto"/>
                                                <w:right w:val="none" w:sz="0" w:space="0" w:color="auto"/>
                                              </w:divBdr>
                                              <w:divsChild>
                                                <w:div w:id="1885671775">
                                                  <w:marLeft w:val="0"/>
                                                  <w:marRight w:val="0"/>
                                                  <w:marTop w:val="0"/>
                                                  <w:marBottom w:val="0"/>
                                                  <w:divBdr>
                                                    <w:top w:val="none" w:sz="0" w:space="0" w:color="auto"/>
                                                    <w:left w:val="none" w:sz="0" w:space="0" w:color="auto"/>
                                                    <w:bottom w:val="none" w:sz="0" w:space="0" w:color="auto"/>
                                                    <w:right w:val="none" w:sz="0" w:space="0" w:color="auto"/>
                                                  </w:divBdr>
                                                  <w:divsChild>
                                                    <w:div w:id="885606471">
                                                      <w:marLeft w:val="0"/>
                                                      <w:marRight w:val="0"/>
                                                      <w:marTop w:val="0"/>
                                                      <w:marBottom w:val="0"/>
                                                      <w:divBdr>
                                                        <w:top w:val="none" w:sz="0" w:space="0" w:color="auto"/>
                                                        <w:left w:val="none" w:sz="0" w:space="0" w:color="auto"/>
                                                        <w:bottom w:val="none" w:sz="0" w:space="0" w:color="auto"/>
                                                        <w:right w:val="none" w:sz="0" w:space="0" w:color="auto"/>
                                                      </w:divBdr>
                                                      <w:divsChild>
                                                        <w:div w:id="1790124092">
                                                          <w:marLeft w:val="0"/>
                                                          <w:marRight w:val="0"/>
                                                          <w:marTop w:val="0"/>
                                                          <w:marBottom w:val="0"/>
                                                          <w:divBdr>
                                                            <w:top w:val="none" w:sz="0" w:space="0" w:color="auto"/>
                                                            <w:left w:val="none" w:sz="0" w:space="0" w:color="auto"/>
                                                            <w:bottom w:val="none" w:sz="0" w:space="0" w:color="auto"/>
                                                            <w:right w:val="none" w:sz="0" w:space="0" w:color="auto"/>
                                                          </w:divBdr>
                                                          <w:divsChild>
                                                            <w:div w:id="192842204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76504644">
      <w:bodyDiv w:val="1"/>
      <w:marLeft w:val="0"/>
      <w:marRight w:val="0"/>
      <w:marTop w:val="0"/>
      <w:marBottom w:val="0"/>
      <w:divBdr>
        <w:top w:val="none" w:sz="0" w:space="0" w:color="auto"/>
        <w:left w:val="none" w:sz="0" w:space="0" w:color="auto"/>
        <w:bottom w:val="none" w:sz="0" w:space="0" w:color="auto"/>
        <w:right w:val="none" w:sz="0" w:space="0" w:color="auto"/>
      </w:divBdr>
      <w:divsChild>
        <w:div w:id="212041601">
          <w:marLeft w:val="0"/>
          <w:marRight w:val="0"/>
          <w:marTop w:val="0"/>
          <w:marBottom w:val="0"/>
          <w:divBdr>
            <w:top w:val="none" w:sz="0" w:space="0" w:color="auto"/>
            <w:left w:val="none" w:sz="0" w:space="0" w:color="auto"/>
            <w:bottom w:val="none" w:sz="0" w:space="0" w:color="auto"/>
            <w:right w:val="none" w:sz="0" w:space="0" w:color="auto"/>
          </w:divBdr>
          <w:divsChild>
            <w:div w:id="1784035265">
              <w:marLeft w:val="0"/>
              <w:marRight w:val="0"/>
              <w:marTop w:val="0"/>
              <w:marBottom w:val="0"/>
              <w:divBdr>
                <w:top w:val="none" w:sz="0" w:space="0" w:color="auto"/>
                <w:left w:val="none" w:sz="0" w:space="0" w:color="auto"/>
                <w:bottom w:val="none" w:sz="0" w:space="0" w:color="auto"/>
                <w:right w:val="none" w:sz="0" w:space="0" w:color="auto"/>
              </w:divBdr>
              <w:divsChild>
                <w:div w:id="1676035370">
                  <w:marLeft w:val="0"/>
                  <w:marRight w:val="0"/>
                  <w:marTop w:val="0"/>
                  <w:marBottom w:val="0"/>
                  <w:divBdr>
                    <w:top w:val="none" w:sz="0" w:space="0" w:color="auto"/>
                    <w:left w:val="none" w:sz="0" w:space="0" w:color="auto"/>
                    <w:bottom w:val="none" w:sz="0" w:space="0" w:color="auto"/>
                    <w:right w:val="none" w:sz="0" w:space="0" w:color="auto"/>
                  </w:divBdr>
                  <w:divsChild>
                    <w:div w:id="1252012605">
                      <w:marLeft w:val="0"/>
                      <w:marRight w:val="0"/>
                      <w:marTop w:val="0"/>
                      <w:marBottom w:val="0"/>
                      <w:divBdr>
                        <w:top w:val="none" w:sz="0" w:space="0" w:color="auto"/>
                        <w:left w:val="none" w:sz="0" w:space="0" w:color="auto"/>
                        <w:bottom w:val="none" w:sz="0" w:space="0" w:color="auto"/>
                        <w:right w:val="none" w:sz="0" w:space="0" w:color="auto"/>
                      </w:divBdr>
                      <w:divsChild>
                        <w:div w:id="1221211572">
                          <w:marLeft w:val="0"/>
                          <w:marRight w:val="0"/>
                          <w:marTop w:val="0"/>
                          <w:marBottom w:val="0"/>
                          <w:divBdr>
                            <w:top w:val="none" w:sz="0" w:space="0" w:color="auto"/>
                            <w:left w:val="none" w:sz="0" w:space="0" w:color="auto"/>
                            <w:bottom w:val="none" w:sz="0" w:space="0" w:color="auto"/>
                            <w:right w:val="none" w:sz="0" w:space="0" w:color="auto"/>
                          </w:divBdr>
                          <w:divsChild>
                            <w:div w:id="2112124237">
                              <w:marLeft w:val="0"/>
                              <w:marRight w:val="0"/>
                              <w:marTop w:val="0"/>
                              <w:marBottom w:val="0"/>
                              <w:divBdr>
                                <w:top w:val="none" w:sz="0" w:space="0" w:color="auto"/>
                                <w:left w:val="none" w:sz="0" w:space="0" w:color="auto"/>
                                <w:bottom w:val="none" w:sz="0" w:space="0" w:color="auto"/>
                                <w:right w:val="none" w:sz="0" w:space="0" w:color="auto"/>
                              </w:divBdr>
                              <w:divsChild>
                                <w:div w:id="1744909843">
                                  <w:marLeft w:val="0"/>
                                  <w:marRight w:val="0"/>
                                  <w:marTop w:val="0"/>
                                  <w:marBottom w:val="0"/>
                                  <w:divBdr>
                                    <w:top w:val="none" w:sz="0" w:space="0" w:color="auto"/>
                                    <w:left w:val="none" w:sz="0" w:space="0" w:color="auto"/>
                                    <w:bottom w:val="none" w:sz="0" w:space="0" w:color="auto"/>
                                    <w:right w:val="none" w:sz="0" w:space="0" w:color="auto"/>
                                  </w:divBdr>
                                  <w:divsChild>
                                    <w:div w:id="797381666">
                                      <w:marLeft w:val="0"/>
                                      <w:marRight w:val="0"/>
                                      <w:marTop w:val="0"/>
                                      <w:marBottom w:val="0"/>
                                      <w:divBdr>
                                        <w:top w:val="none" w:sz="0" w:space="0" w:color="auto"/>
                                        <w:left w:val="none" w:sz="0" w:space="0" w:color="auto"/>
                                        <w:bottom w:val="none" w:sz="0" w:space="0" w:color="auto"/>
                                        <w:right w:val="none" w:sz="0" w:space="0" w:color="auto"/>
                                      </w:divBdr>
                                      <w:divsChild>
                                        <w:div w:id="2067876587">
                                          <w:marLeft w:val="0"/>
                                          <w:marRight w:val="0"/>
                                          <w:marTop w:val="0"/>
                                          <w:marBottom w:val="0"/>
                                          <w:divBdr>
                                            <w:top w:val="none" w:sz="0" w:space="0" w:color="auto"/>
                                            <w:left w:val="none" w:sz="0" w:space="0" w:color="auto"/>
                                            <w:bottom w:val="none" w:sz="0" w:space="0" w:color="auto"/>
                                            <w:right w:val="none" w:sz="0" w:space="0" w:color="auto"/>
                                          </w:divBdr>
                                          <w:divsChild>
                                            <w:div w:id="1365212302">
                                              <w:marLeft w:val="0"/>
                                              <w:marRight w:val="0"/>
                                              <w:marTop w:val="0"/>
                                              <w:marBottom w:val="0"/>
                                              <w:divBdr>
                                                <w:top w:val="none" w:sz="0" w:space="0" w:color="auto"/>
                                                <w:left w:val="none" w:sz="0" w:space="0" w:color="auto"/>
                                                <w:bottom w:val="none" w:sz="0" w:space="0" w:color="auto"/>
                                                <w:right w:val="none" w:sz="0" w:space="0" w:color="auto"/>
                                              </w:divBdr>
                                              <w:divsChild>
                                                <w:div w:id="2033530419">
                                                  <w:marLeft w:val="0"/>
                                                  <w:marRight w:val="0"/>
                                                  <w:marTop w:val="0"/>
                                                  <w:marBottom w:val="0"/>
                                                  <w:divBdr>
                                                    <w:top w:val="none" w:sz="0" w:space="0" w:color="auto"/>
                                                    <w:left w:val="none" w:sz="0" w:space="0" w:color="auto"/>
                                                    <w:bottom w:val="none" w:sz="0" w:space="0" w:color="auto"/>
                                                    <w:right w:val="none" w:sz="0" w:space="0" w:color="auto"/>
                                                  </w:divBdr>
                                                  <w:divsChild>
                                                    <w:div w:id="177740445">
                                                      <w:marLeft w:val="0"/>
                                                      <w:marRight w:val="0"/>
                                                      <w:marTop w:val="0"/>
                                                      <w:marBottom w:val="0"/>
                                                      <w:divBdr>
                                                        <w:top w:val="none" w:sz="0" w:space="0" w:color="auto"/>
                                                        <w:left w:val="none" w:sz="0" w:space="0" w:color="auto"/>
                                                        <w:bottom w:val="none" w:sz="0" w:space="0" w:color="auto"/>
                                                        <w:right w:val="none" w:sz="0" w:space="0" w:color="auto"/>
                                                      </w:divBdr>
                                                      <w:divsChild>
                                                        <w:div w:id="18583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359226">
      <w:bodyDiv w:val="1"/>
      <w:marLeft w:val="0"/>
      <w:marRight w:val="0"/>
      <w:marTop w:val="0"/>
      <w:marBottom w:val="0"/>
      <w:divBdr>
        <w:top w:val="none" w:sz="0" w:space="0" w:color="auto"/>
        <w:left w:val="none" w:sz="0" w:space="0" w:color="auto"/>
        <w:bottom w:val="none" w:sz="0" w:space="0" w:color="auto"/>
        <w:right w:val="none" w:sz="0" w:space="0" w:color="auto"/>
      </w:divBdr>
      <w:divsChild>
        <w:div w:id="658964895">
          <w:marLeft w:val="0"/>
          <w:marRight w:val="0"/>
          <w:marTop w:val="0"/>
          <w:marBottom w:val="0"/>
          <w:divBdr>
            <w:top w:val="none" w:sz="0" w:space="0" w:color="auto"/>
            <w:left w:val="none" w:sz="0" w:space="0" w:color="auto"/>
            <w:bottom w:val="none" w:sz="0" w:space="0" w:color="auto"/>
            <w:right w:val="none" w:sz="0" w:space="0" w:color="auto"/>
          </w:divBdr>
          <w:divsChild>
            <w:div w:id="1474713357">
              <w:marLeft w:val="0"/>
              <w:marRight w:val="0"/>
              <w:marTop w:val="0"/>
              <w:marBottom w:val="0"/>
              <w:divBdr>
                <w:top w:val="none" w:sz="0" w:space="0" w:color="auto"/>
                <w:left w:val="none" w:sz="0" w:space="0" w:color="auto"/>
                <w:bottom w:val="none" w:sz="0" w:space="0" w:color="auto"/>
                <w:right w:val="none" w:sz="0" w:space="0" w:color="auto"/>
              </w:divBdr>
              <w:divsChild>
                <w:div w:id="1011950703">
                  <w:marLeft w:val="0"/>
                  <w:marRight w:val="0"/>
                  <w:marTop w:val="0"/>
                  <w:marBottom w:val="0"/>
                  <w:divBdr>
                    <w:top w:val="none" w:sz="0" w:space="0" w:color="auto"/>
                    <w:left w:val="none" w:sz="0" w:space="0" w:color="auto"/>
                    <w:bottom w:val="none" w:sz="0" w:space="0" w:color="auto"/>
                    <w:right w:val="none" w:sz="0" w:space="0" w:color="auto"/>
                  </w:divBdr>
                  <w:divsChild>
                    <w:div w:id="703746565">
                      <w:marLeft w:val="0"/>
                      <w:marRight w:val="0"/>
                      <w:marTop w:val="0"/>
                      <w:marBottom w:val="0"/>
                      <w:divBdr>
                        <w:top w:val="none" w:sz="0" w:space="0" w:color="auto"/>
                        <w:left w:val="none" w:sz="0" w:space="0" w:color="auto"/>
                        <w:bottom w:val="none" w:sz="0" w:space="0" w:color="auto"/>
                        <w:right w:val="none" w:sz="0" w:space="0" w:color="auto"/>
                      </w:divBdr>
                      <w:divsChild>
                        <w:div w:id="1482431277">
                          <w:marLeft w:val="0"/>
                          <w:marRight w:val="0"/>
                          <w:marTop w:val="0"/>
                          <w:marBottom w:val="0"/>
                          <w:divBdr>
                            <w:top w:val="none" w:sz="0" w:space="0" w:color="auto"/>
                            <w:left w:val="none" w:sz="0" w:space="0" w:color="auto"/>
                            <w:bottom w:val="none" w:sz="0" w:space="0" w:color="auto"/>
                            <w:right w:val="none" w:sz="0" w:space="0" w:color="auto"/>
                          </w:divBdr>
                          <w:divsChild>
                            <w:div w:id="1189836834">
                              <w:marLeft w:val="0"/>
                              <w:marRight w:val="0"/>
                              <w:marTop w:val="0"/>
                              <w:marBottom w:val="0"/>
                              <w:divBdr>
                                <w:top w:val="none" w:sz="0" w:space="0" w:color="auto"/>
                                <w:left w:val="none" w:sz="0" w:space="0" w:color="auto"/>
                                <w:bottom w:val="none" w:sz="0" w:space="0" w:color="auto"/>
                                <w:right w:val="none" w:sz="0" w:space="0" w:color="auto"/>
                              </w:divBdr>
                              <w:divsChild>
                                <w:div w:id="1223982574">
                                  <w:marLeft w:val="0"/>
                                  <w:marRight w:val="0"/>
                                  <w:marTop w:val="0"/>
                                  <w:marBottom w:val="0"/>
                                  <w:divBdr>
                                    <w:top w:val="none" w:sz="0" w:space="0" w:color="auto"/>
                                    <w:left w:val="none" w:sz="0" w:space="0" w:color="auto"/>
                                    <w:bottom w:val="none" w:sz="0" w:space="0" w:color="auto"/>
                                    <w:right w:val="none" w:sz="0" w:space="0" w:color="auto"/>
                                  </w:divBdr>
                                  <w:divsChild>
                                    <w:div w:id="514929452">
                                      <w:marLeft w:val="0"/>
                                      <w:marRight w:val="0"/>
                                      <w:marTop w:val="0"/>
                                      <w:marBottom w:val="0"/>
                                      <w:divBdr>
                                        <w:top w:val="none" w:sz="0" w:space="0" w:color="auto"/>
                                        <w:left w:val="none" w:sz="0" w:space="0" w:color="auto"/>
                                        <w:bottom w:val="none" w:sz="0" w:space="0" w:color="auto"/>
                                        <w:right w:val="none" w:sz="0" w:space="0" w:color="auto"/>
                                      </w:divBdr>
                                      <w:divsChild>
                                        <w:div w:id="1524515982">
                                          <w:marLeft w:val="0"/>
                                          <w:marRight w:val="0"/>
                                          <w:marTop w:val="0"/>
                                          <w:marBottom w:val="0"/>
                                          <w:divBdr>
                                            <w:top w:val="none" w:sz="0" w:space="0" w:color="auto"/>
                                            <w:left w:val="none" w:sz="0" w:space="0" w:color="auto"/>
                                            <w:bottom w:val="none" w:sz="0" w:space="0" w:color="auto"/>
                                            <w:right w:val="none" w:sz="0" w:space="0" w:color="auto"/>
                                          </w:divBdr>
                                          <w:divsChild>
                                            <w:div w:id="1476020528">
                                              <w:marLeft w:val="0"/>
                                              <w:marRight w:val="0"/>
                                              <w:marTop w:val="0"/>
                                              <w:marBottom w:val="0"/>
                                              <w:divBdr>
                                                <w:top w:val="none" w:sz="0" w:space="0" w:color="auto"/>
                                                <w:left w:val="none" w:sz="0" w:space="0" w:color="auto"/>
                                                <w:bottom w:val="none" w:sz="0" w:space="0" w:color="auto"/>
                                                <w:right w:val="none" w:sz="0" w:space="0" w:color="auto"/>
                                              </w:divBdr>
                                              <w:divsChild>
                                                <w:div w:id="88358338">
                                                  <w:marLeft w:val="0"/>
                                                  <w:marRight w:val="0"/>
                                                  <w:marTop w:val="0"/>
                                                  <w:marBottom w:val="0"/>
                                                  <w:divBdr>
                                                    <w:top w:val="none" w:sz="0" w:space="0" w:color="auto"/>
                                                    <w:left w:val="none" w:sz="0" w:space="0" w:color="auto"/>
                                                    <w:bottom w:val="none" w:sz="0" w:space="0" w:color="auto"/>
                                                    <w:right w:val="none" w:sz="0" w:space="0" w:color="auto"/>
                                                  </w:divBdr>
                                                  <w:divsChild>
                                                    <w:div w:id="1618297467">
                                                      <w:marLeft w:val="0"/>
                                                      <w:marRight w:val="0"/>
                                                      <w:marTop w:val="0"/>
                                                      <w:marBottom w:val="0"/>
                                                      <w:divBdr>
                                                        <w:top w:val="none" w:sz="0" w:space="0" w:color="auto"/>
                                                        <w:left w:val="none" w:sz="0" w:space="0" w:color="auto"/>
                                                        <w:bottom w:val="none" w:sz="0" w:space="0" w:color="auto"/>
                                                        <w:right w:val="none" w:sz="0" w:space="0" w:color="auto"/>
                                                      </w:divBdr>
                                                      <w:divsChild>
                                                        <w:div w:id="13865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9498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www.foodstandards.gov.au/code/applications/Pages/A1122ThermolysinProteasePA.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s://www.legifrance.gouv.fr/affichTexte.do?cidTexte=JORFTEXT000000271061&amp;date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4B060-8886-4345-808B-915156CEADFB}"/>
</file>

<file path=customXml/itemProps2.xml><?xml version="1.0" encoding="utf-8"?>
<ds:datastoreItem xmlns:ds="http://schemas.openxmlformats.org/officeDocument/2006/customXml" ds:itemID="{5A4193C4-8E9C-4687-97EA-4124D9EC1326}"/>
</file>

<file path=customXml/itemProps3.xml><?xml version="1.0" encoding="utf-8"?>
<ds:datastoreItem xmlns:ds="http://schemas.openxmlformats.org/officeDocument/2006/customXml" ds:itemID="{2BBABDAE-A0E0-4807-A52B-3A902F7CDAC1}"/>
</file>

<file path=customXml/itemProps4.xml><?xml version="1.0" encoding="utf-8"?>
<ds:datastoreItem xmlns:ds="http://schemas.openxmlformats.org/officeDocument/2006/customXml" ds:itemID="{57D9D0AB-9918-4A3A-9243-052A5F086025}">
  <ds:schemaRefs>
    <ds:schemaRef ds:uri="Microsoft.SharePoint.Taxonomy.ContentTypeSync"/>
  </ds:schemaRefs>
</ds:datastoreItem>
</file>

<file path=customXml/itemProps5.xml><?xml version="1.0" encoding="utf-8"?>
<ds:datastoreItem xmlns:ds="http://schemas.openxmlformats.org/officeDocument/2006/customXml" ds:itemID="{F4575FDA-75F5-4272-AB17-805925E9A6A9}"/>
</file>

<file path=customXml/itemProps6.xml><?xml version="1.0" encoding="utf-8"?>
<ds:datastoreItem xmlns:ds="http://schemas.openxmlformats.org/officeDocument/2006/customXml" ds:itemID="{C0765749-FEE5-4F5A-BEE4-F33F4E45A742}"/>
</file>

<file path=customXml/itemProps7.xml><?xml version="1.0" encoding="utf-8"?>
<ds:datastoreItem xmlns:ds="http://schemas.openxmlformats.org/officeDocument/2006/customXml" ds:itemID="{58C5BCAE-9AEE-471B-B3CA-8F7AB1E16975}"/>
</file>

<file path=docProps/app.xml><?xml version="1.0" encoding="utf-8"?>
<Properties xmlns="http://schemas.openxmlformats.org/officeDocument/2006/extended-properties" xmlns:vt="http://schemas.openxmlformats.org/officeDocument/2006/docPropsVTypes">
  <Template>Normal</Template>
  <TotalTime>5</TotalTime>
  <Pages>1</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35378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Ben.Sutherland@foodstandards.gov.au</dc:creator>
  <cp:keywords/>
  <cp:lastModifiedBy>Christine Coughlan</cp:lastModifiedBy>
  <cp:revision>7</cp:revision>
  <cp:lastPrinted>2012-03-26T22:36:00Z</cp:lastPrinted>
  <dcterms:created xsi:type="dcterms:W3CDTF">2018-04-09T01:01:00Z</dcterms:created>
  <dcterms:modified xsi:type="dcterms:W3CDTF">2018-04-09T01:05:00Z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55890de7-38fa-4962-92f4-0cee775673cc</vt:lpwstr>
  </property>
  <property fmtid="{D5CDD505-2E9C-101B-9397-08002B2CF9AE}" pid="4" name="bd06d2da0152468b9236b575a71e0e7c">
    <vt:lpwstr>FOOD STANDARDS:Evaluation|43bd8487-b9f6-4055-946c-a118d364275d</vt:lpwstr>
  </property>
  <property fmtid="{D5CDD505-2E9C-101B-9397-08002B2CF9AE}" pid="5" name="BCS_">
    <vt:lpwstr>40;#FOOD STANDARDS:Evaluation|43bd8487-b9f6-4055-946c-a118d364275d</vt:lpwstr>
  </property>
  <property fmtid="{D5CDD505-2E9C-101B-9397-08002B2CF9AE}" pid="6" name="a41428b017d04df981d58ffdf035d7b8">
    <vt:lpwstr/>
  </property>
  <property fmtid="{D5CDD505-2E9C-101B-9397-08002B2CF9AE}" pid="7" name="TaxCatchAll">
    <vt:lpwstr>7;#FOOD STANDARDS:Evaluation|43bd8487-b9f6-4055-946c-a118d364275d</vt:lpwstr>
  </property>
  <property fmtid="{D5CDD505-2E9C-101B-9397-08002B2CF9AE}" pid="8" name="DisposalClass">
    <vt:lpwstr/>
  </property>
  <property fmtid="{D5CDD505-2E9C-101B-9397-08002B2CF9AE}" pid="9" name="SPPCopyMoveEvent">
    <vt:lpwstr>0</vt:lpwstr>
  </property>
  <property fmtid="{D5CDD505-2E9C-101B-9397-08002B2CF9AE}" pid="10" name="TitusGUID">
    <vt:lpwstr>110c3b55-d4f8-430f-bb6d-ea5745f09267</vt:lpwstr>
  </property>
  <property fmtid="{D5CDD505-2E9C-101B-9397-08002B2CF9AE}" pid="11" name="docIndexRef">
    <vt:lpwstr>45fd1db4-143e-467d-935d-00a3671a9f82</vt:lpwstr>
  </property>
  <property fmtid="{D5CDD505-2E9C-101B-9397-08002B2CF9AE}" pid="12" name="bjSaver">
    <vt:lpwstr>iTUAAigDoSVoz2TnlxtrqLJidnnocUAc</vt:lpwstr>
  </property>
  <property fmtid="{D5CDD505-2E9C-101B-9397-08002B2CF9AE}" pid="1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4" name="bjDocumentLabelXML-0">
    <vt:lpwstr>ames.com/2008/01/sie/internal/label"&gt;&lt;element uid="a68a5297-83bb-4ba8-a7cd-4b62d6981a77" value="" /&gt;&lt;/sisl&gt;</vt:lpwstr>
  </property>
  <property fmtid="{D5CDD505-2E9C-101B-9397-08002B2CF9AE}" pid="15" name="bjDocumentSecurityLabel">
    <vt:lpwstr>NO SECURITY CLASSIFICATION REQUIRED</vt:lpwstr>
  </property>
</Properties>
</file>